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C7A0" w14:textId="77777777" w:rsidR="00380F60" w:rsidRPr="00380F60" w:rsidRDefault="00380F60" w:rsidP="00380F60">
      <w:pPr>
        <w:spacing w:after="0" w:line="276" w:lineRule="auto"/>
        <w:rPr>
          <w:rFonts w:ascii="Arial" w:eastAsia="Arial" w:hAnsi="Arial" w:cs="Arial"/>
        </w:rPr>
      </w:pPr>
      <w:bookmarkStart w:id="0" w:name="_Hlk219196647"/>
      <w:r w:rsidRPr="00380F60">
        <w:rPr>
          <w:rFonts w:ascii="Arial" w:eastAsia="Arial" w:hAnsi="Arial" w:cs="Arial"/>
        </w:rPr>
        <w:t>Annex A</w:t>
      </w:r>
    </w:p>
    <w:p w14:paraId="76FCF779" w14:textId="77777777" w:rsidR="00380F60" w:rsidRPr="00380F60" w:rsidRDefault="00380F60" w:rsidP="00380F60">
      <w:pPr>
        <w:spacing w:after="0" w:line="276" w:lineRule="auto"/>
        <w:rPr>
          <w:rFonts w:ascii="Arial" w:eastAsia="Arial" w:hAnsi="Arial" w:cs="Arial"/>
        </w:rPr>
      </w:pPr>
    </w:p>
    <w:p w14:paraId="61AEDF8E" w14:textId="77777777" w:rsidR="00380F60" w:rsidRPr="00380F60" w:rsidRDefault="00380F60" w:rsidP="00380F60">
      <w:pPr>
        <w:spacing w:after="0" w:line="240" w:lineRule="auto"/>
        <w:rPr>
          <w:rFonts w:ascii="Arial" w:eastAsia="Arial" w:hAnsi="Arial" w:cs="Arial"/>
        </w:rPr>
      </w:pPr>
      <w:r w:rsidRPr="00380F60">
        <w:rPr>
          <w:rFonts w:ascii="Arial" w:eastAsia="Arial" w:hAnsi="Arial" w:cs="Arial"/>
          <w:b/>
          <w:bCs/>
        </w:rPr>
        <w:t>Position Title</w:t>
      </w:r>
      <w:r w:rsidRPr="00380F60">
        <w:rPr>
          <w:rFonts w:ascii="Arial" w:eastAsia="Arial" w:hAnsi="Arial" w:cs="Arial"/>
          <w:b/>
          <w:bCs/>
        </w:rPr>
        <w:tab/>
        <w:t>:</w:t>
      </w:r>
      <w:r w:rsidRPr="00380F60">
        <w:rPr>
          <w:rFonts w:ascii="Arial" w:eastAsia="Arial" w:hAnsi="Arial" w:cs="Arial"/>
          <w:b/>
          <w:bCs/>
        </w:rPr>
        <w:tab/>
      </w:r>
      <w:r w:rsidRPr="00380F60">
        <w:rPr>
          <w:rFonts w:ascii="Arial" w:eastAsia="Arial" w:hAnsi="Arial" w:cs="Arial"/>
          <w:b/>
          <w:bCs/>
        </w:rPr>
        <w:tab/>
      </w:r>
      <w:r w:rsidRPr="00380F60">
        <w:rPr>
          <w:rFonts w:ascii="Arial" w:eastAsia="Arial" w:hAnsi="Arial" w:cs="Arial"/>
        </w:rPr>
        <w:t>Local FPIC-Gender-Safeguards Consultant - Philippines</w:t>
      </w:r>
    </w:p>
    <w:p w14:paraId="0CC33B82" w14:textId="77777777" w:rsidR="00380F60" w:rsidRPr="00380F60" w:rsidRDefault="00380F60" w:rsidP="00380F60">
      <w:pPr>
        <w:spacing w:after="0" w:line="240" w:lineRule="auto"/>
        <w:rPr>
          <w:rFonts w:ascii="Arial" w:eastAsia="Arial" w:hAnsi="Arial" w:cs="Arial"/>
        </w:rPr>
      </w:pPr>
      <w:r w:rsidRPr="00380F60">
        <w:rPr>
          <w:rFonts w:ascii="Arial" w:eastAsia="Arial" w:hAnsi="Arial" w:cs="Arial"/>
          <w:b/>
          <w:bCs/>
        </w:rPr>
        <w:t>Duration of Contract:</w:t>
      </w:r>
      <w:r w:rsidRPr="00380F60">
        <w:rPr>
          <w:rFonts w:ascii="Arial" w:eastAsia="Arial" w:hAnsi="Arial" w:cs="Arial"/>
          <w:b/>
          <w:bCs/>
        </w:rPr>
        <w:tab/>
      </w:r>
      <w:r w:rsidRPr="00380F60">
        <w:rPr>
          <w:rFonts w:ascii="Arial" w:eastAsia="Arial" w:hAnsi="Arial" w:cs="Arial"/>
        </w:rPr>
        <w:t>12 months</w:t>
      </w:r>
    </w:p>
    <w:p w14:paraId="38CE9370" w14:textId="77777777" w:rsidR="00380F60" w:rsidRPr="00380F60" w:rsidRDefault="00380F60" w:rsidP="00380F60">
      <w:pPr>
        <w:spacing w:after="0" w:line="240" w:lineRule="auto"/>
        <w:rPr>
          <w:rFonts w:ascii="Arial" w:eastAsia="Arial" w:hAnsi="Arial" w:cs="Arial"/>
        </w:rPr>
      </w:pPr>
      <w:r w:rsidRPr="00380F60">
        <w:rPr>
          <w:rFonts w:ascii="Arial" w:eastAsia="Arial" w:hAnsi="Arial" w:cs="Arial"/>
          <w:b/>
          <w:bCs/>
        </w:rPr>
        <w:t>Duty Station</w:t>
      </w:r>
      <w:r w:rsidRPr="00380F60">
        <w:rPr>
          <w:rFonts w:ascii="Arial" w:eastAsia="Arial" w:hAnsi="Arial" w:cs="Arial"/>
          <w:b/>
          <w:bCs/>
        </w:rPr>
        <w:tab/>
      </w:r>
      <w:r w:rsidRPr="00380F60">
        <w:rPr>
          <w:rFonts w:ascii="Arial" w:eastAsia="Arial" w:hAnsi="Arial" w:cs="Arial"/>
          <w:b/>
          <w:bCs/>
        </w:rPr>
        <w:tab/>
        <w:t xml:space="preserve">: </w:t>
      </w:r>
      <w:r w:rsidRPr="00380F60">
        <w:rPr>
          <w:rFonts w:ascii="Arial" w:eastAsia="Arial" w:hAnsi="Arial" w:cs="Arial"/>
          <w:b/>
          <w:bCs/>
        </w:rPr>
        <w:tab/>
      </w:r>
      <w:r w:rsidRPr="00380F60">
        <w:rPr>
          <w:rFonts w:ascii="Arial" w:eastAsia="Arial" w:hAnsi="Arial" w:cs="Arial"/>
        </w:rPr>
        <w:t>Philippines</w:t>
      </w:r>
    </w:p>
    <w:p w14:paraId="67FB05C7" w14:textId="77777777" w:rsidR="00380F60" w:rsidRPr="00380F60" w:rsidRDefault="00380F60" w:rsidP="00380F60">
      <w:pPr>
        <w:spacing w:after="0" w:line="240" w:lineRule="auto"/>
        <w:rPr>
          <w:rFonts w:ascii="Arial" w:eastAsia="Arial" w:hAnsi="Arial" w:cs="Arial"/>
          <w:b/>
          <w:bCs/>
        </w:rPr>
      </w:pPr>
      <w:r w:rsidRPr="00380F60">
        <w:rPr>
          <w:rFonts w:ascii="Arial" w:eastAsia="Arial" w:hAnsi="Arial" w:cs="Arial"/>
          <w:b/>
          <w:bCs/>
        </w:rPr>
        <w:t>Reporting to</w:t>
      </w:r>
      <w:r w:rsidRPr="00380F60">
        <w:rPr>
          <w:rFonts w:ascii="Arial" w:eastAsia="Arial" w:hAnsi="Arial" w:cs="Arial"/>
          <w:b/>
          <w:bCs/>
        </w:rPr>
        <w:tab/>
      </w:r>
      <w:r w:rsidRPr="00380F60">
        <w:rPr>
          <w:rFonts w:ascii="Arial" w:eastAsia="Arial" w:hAnsi="Arial" w:cs="Arial"/>
          <w:b/>
          <w:bCs/>
        </w:rPr>
        <w:tab/>
        <w:t xml:space="preserve">: </w:t>
      </w:r>
      <w:r w:rsidRPr="00380F60">
        <w:rPr>
          <w:rFonts w:ascii="Arial" w:eastAsia="Arial" w:hAnsi="Arial" w:cs="Arial"/>
          <w:b/>
          <w:bCs/>
        </w:rPr>
        <w:tab/>
      </w:r>
      <w:r w:rsidRPr="00380F60">
        <w:rPr>
          <w:rFonts w:ascii="Arial" w:eastAsia="Arial" w:hAnsi="Arial" w:cs="Arial"/>
        </w:rPr>
        <w:t>ASEAN ENMAPS Project Manager-Chief Technical Adviser</w:t>
      </w:r>
    </w:p>
    <w:p w14:paraId="2419982F" w14:textId="77777777" w:rsidR="00380F60" w:rsidRPr="00380F60" w:rsidRDefault="00380F60" w:rsidP="00380F60">
      <w:pPr>
        <w:spacing w:after="0" w:line="240" w:lineRule="auto"/>
        <w:rPr>
          <w:rFonts w:ascii="Arial" w:eastAsia="Arial" w:hAnsi="Arial" w:cs="Arial"/>
          <w:b/>
          <w:bCs/>
        </w:rPr>
      </w:pPr>
    </w:p>
    <w:p w14:paraId="04F00457" w14:textId="77777777" w:rsidR="00380F60" w:rsidRPr="00380F60" w:rsidRDefault="00380F60" w:rsidP="00380F60">
      <w:pPr>
        <w:spacing w:after="0" w:line="240" w:lineRule="auto"/>
        <w:jc w:val="center"/>
        <w:rPr>
          <w:rFonts w:ascii="Arial" w:eastAsia="Arial" w:hAnsi="Arial" w:cs="Arial"/>
          <w:b/>
          <w:bCs/>
        </w:rPr>
      </w:pPr>
    </w:p>
    <w:p w14:paraId="06E3391A" w14:textId="77777777" w:rsidR="00380F60" w:rsidRPr="00380F60" w:rsidRDefault="00380F60" w:rsidP="00380F60">
      <w:pPr>
        <w:spacing w:after="0" w:line="240" w:lineRule="auto"/>
        <w:jc w:val="center"/>
        <w:rPr>
          <w:rFonts w:ascii="Arial" w:eastAsia="Arial" w:hAnsi="Arial" w:cs="Arial"/>
          <w:b/>
          <w:bCs/>
        </w:rPr>
      </w:pPr>
    </w:p>
    <w:p w14:paraId="56125676" w14:textId="77777777" w:rsidR="00380F60" w:rsidRPr="00380F60" w:rsidRDefault="00380F60" w:rsidP="00380F60">
      <w:pPr>
        <w:spacing w:after="0" w:line="240" w:lineRule="auto"/>
        <w:jc w:val="center"/>
        <w:rPr>
          <w:rFonts w:ascii="Arial" w:eastAsia="Arial" w:hAnsi="Arial" w:cs="Arial"/>
          <w:b/>
          <w:bCs/>
        </w:rPr>
      </w:pPr>
      <w:r w:rsidRPr="00380F60">
        <w:rPr>
          <w:rFonts w:ascii="Arial" w:eastAsia="Arial" w:hAnsi="Arial" w:cs="Arial"/>
          <w:b/>
          <w:bCs/>
        </w:rPr>
        <w:t>TERMS OF REFERENCE</w:t>
      </w:r>
    </w:p>
    <w:p w14:paraId="188BD9AA" w14:textId="77777777" w:rsidR="00380F60" w:rsidRPr="00380F60" w:rsidRDefault="00380F60" w:rsidP="00380F60">
      <w:pPr>
        <w:spacing w:after="0" w:line="240" w:lineRule="auto"/>
        <w:jc w:val="center"/>
        <w:rPr>
          <w:rFonts w:ascii="Arial" w:eastAsia="Arial" w:hAnsi="Arial" w:cs="Arial"/>
          <w:b/>
          <w:bCs/>
        </w:rPr>
      </w:pPr>
    </w:p>
    <w:p w14:paraId="482A1EB5" w14:textId="77777777" w:rsidR="00380F60" w:rsidRPr="00380F60" w:rsidRDefault="00380F60" w:rsidP="00380F60">
      <w:pPr>
        <w:spacing w:after="0" w:line="240" w:lineRule="auto"/>
        <w:jc w:val="both"/>
        <w:rPr>
          <w:rFonts w:ascii="Arial" w:eastAsia="Arial" w:hAnsi="Arial" w:cs="Arial"/>
        </w:rPr>
      </w:pPr>
    </w:p>
    <w:p w14:paraId="12E8D854" w14:textId="77777777" w:rsidR="00380F60" w:rsidRPr="00380F60" w:rsidRDefault="00380F60" w:rsidP="00380F60">
      <w:pPr>
        <w:numPr>
          <w:ilvl w:val="0"/>
          <w:numId w:val="3"/>
        </w:numPr>
        <w:spacing w:after="0" w:line="240" w:lineRule="auto"/>
        <w:jc w:val="both"/>
        <w:rPr>
          <w:rFonts w:ascii="Arial" w:eastAsia="Arial" w:hAnsi="Arial" w:cs="Arial"/>
          <w:b/>
          <w:bCs/>
        </w:rPr>
      </w:pPr>
      <w:r w:rsidRPr="00380F60">
        <w:rPr>
          <w:rFonts w:ascii="Arial" w:eastAsia="Arial" w:hAnsi="Arial" w:cs="Arial"/>
          <w:b/>
          <w:bCs/>
        </w:rPr>
        <w:t>Background</w:t>
      </w:r>
    </w:p>
    <w:p w14:paraId="09BFC870" w14:textId="77777777" w:rsidR="00380F60" w:rsidRPr="00380F60" w:rsidRDefault="00380F60" w:rsidP="00380F60">
      <w:pPr>
        <w:spacing w:after="0" w:line="240" w:lineRule="auto"/>
        <w:jc w:val="both"/>
        <w:rPr>
          <w:rFonts w:ascii="Arial" w:eastAsia="Arial" w:hAnsi="Arial" w:cs="Arial"/>
        </w:rPr>
      </w:pPr>
    </w:p>
    <w:p w14:paraId="1D7933D3" w14:textId="77777777" w:rsidR="00380F60" w:rsidRPr="00380F60" w:rsidRDefault="00380F60" w:rsidP="00380F60">
      <w:pPr>
        <w:spacing w:after="0" w:line="240" w:lineRule="auto"/>
        <w:jc w:val="both"/>
        <w:rPr>
          <w:rFonts w:ascii="Arial" w:eastAsia="Arial" w:hAnsi="Arial" w:cs="Arial"/>
        </w:rPr>
      </w:pPr>
      <w:r w:rsidRPr="00380F60">
        <w:rPr>
          <w:rFonts w:ascii="Arial" w:eastAsia="Arial" w:hAnsi="Arial" w:cs="Arial"/>
        </w:rPr>
        <w:t xml:space="preserve">The ASEAN Center for Biodiversity (ACB) is implementing a project entitled, “Effectively managing networks of marine protected areas in large marine ecosystems in the ASEAN region (ENMAPS)”.  This project is about creating transformative changes that will make management of MPAs in the LMEs in the ASEAN waters effective, collaborative and responsive.  During the Project Preparation Grant Phase (PPG), UNDP’s Social and Environmental Screening Procedure (SESP) identified 12 environmental and social safeguards risks (6 moderate and 6 substantial) within the project. </w:t>
      </w:r>
    </w:p>
    <w:p w14:paraId="4DC5F5E6" w14:textId="77777777" w:rsidR="00380F60" w:rsidRPr="00380F60" w:rsidRDefault="00380F60" w:rsidP="00380F60">
      <w:pPr>
        <w:spacing w:after="0" w:line="240" w:lineRule="auto"/>
        <w:jc w:val="both"/>
        <w:rPr>
          <w:rFonts w:ascii="Arial" w:eastAsia="Arial" w:hAnsi="Arial" w:cs="Arial"/>
        </w:rPr>
      </w:pPr>
    </w:p>
    <w:p w14:paraId="3E776700" w14:textId="77777777" w:rsidR="00380F60" w:rsidRPr="00380F60" w:rsidRDefault="00380F60" w:rsidP="00380F60">
      <w:pPr>
        <w:spacing w:after="0" w:line="240" w:lineRule="auto"/>
        <w:jc w:val="both"/>
        <w:rPr>
          <w:rFonts w:ascii="Arial" w:eastAsia="Arial" w:hAnsi="Arial" w:cs="Arial"/>
        </w:rPr>
      </w:pPr>
      <w:r w:rsidRPr="00380F60">
        <w:rPr>
          <w:rFonts w:ascii="Arial" w:eastAsia="Arial" w:hAnsi="Arial" w:cs="Arial"/>
        </w:rPr>
        <w:t>The Environmental and Social Management Framework (ESMF), Indigenous Peoples Planning Framework (IPPF), and the Gender Analysis and Action Plan (GAAP) have been developed to guide the project’s full adherence to the Social and Environmental Standards (SES) outlined by the GEF and UNDP, consistent with the  UNDP Gender Equality Strategy 2022-2025, the GEF Policy on Gender Equality (SD/PL/02, July 01, 2018), the Declaration on the Gender-Responsive Implementation of ASEAN Community Vision 2025 and the Sustainable Development Goals.</w:t>
      </w:r>
    </w:p>
    <w:p w14:paraId="05B73ACD" w14:textId="77777777" w:rsidR="00380F60" w:rsidRPr="00380F60" w:rsidRDefault="00380F60" w:rsidP="00380F60">
      <w:pPr>
        <w:spacing w:after="0" w:line="240" w:lineRule="auto"/>
        <w:jc w:val="both"/>
        <w:rPr>
          <w:rFonts w:ascii="Arial" w:eastAsia="Arial" w:hAnsi="Arial" w:cs="Arial"/>
        </w:rPr>
      </w:pPr>
      <w:r w:rsidRPr="00380F60">
        <w:rPr>
          <w:rFonts w:ascii="Arial" w:eastAsia="Arial" w:hAnsi="Arial" w:cs="Arial"/>
        </w:rPr>
        <w:t xml:space="preserve"> </w:t>
      </w:r>
    </w:p>
    <w:p w14:paraId="61578F1B" w14:textId="5B4040D8" w:rsidR="00380F60" w:rsidRPr="00380F60" w:rsidRDefault="00380F60" w:rsidP="00380F60">
      <w:pPr>
        <w:spacing w:after="0" w:line="240" w:lineRule="auto"/>
        <w:jc w:val="both"/>
        <w:rPr>
          <w:rFonts w:ascii="Arial" w:eastAsia="Arial" w:hAnsi="Arial" w:cs="Arial"/>
        </w:rPr>
      </w:pPr>
      <w:r w:rsidRPr="00380F60">
        <w:rPr>
          <w:rFonts w:ascii="Arial" w:eastAsia="Arial" w:hAnsi="Arial" w:cs="Arial"/>
        </w:rPr>
        <w:t xml:space="preserve">Upholding its commitment, ACB will ensure that appropriate safeguards measures are in place, where meaningful </w:t>
      </w:r>
      <w:r w:rsidR="001008C5" w:rsidRPr="00380F60">
        <w:rPr>
          <w:rFonts w:ascii="Arial" w:eastAsia="Arial" w:hAnsi="Arial" w:cs="Arial"/>
        </w:rPr>
        <w:t>consultations, social</w:t>
      </w:r>
      <w:r w:rsidRPr="00380F60">
        <w:rPr>
          <w:rFonts w:ascii="Arial" w:eastAsia="Arial" w:hAnsi="Arial" w:cs="Arial"/>
        </w:rPr>
        <w:t xml:space="preserve"> and environmental screening and assessments are conducted during the early stage of project implementation, to further refine risk identification and mitigation strategies, as well as to establish a system for monitoring these </w:t>
      </w:r>
      <w:r w:rsidR="001008C5" w:rsidRPr="00380F60">
        <w:rPr>
          <w:rFonts w:ascii="Arial" w:eastAsia="Arial" w:hAnsi="Arial" w:cs="Arial"/>
        </w:rPr>
        <w:t>risks. The</w:t>
      </w:r>
      <w:r w:rsidRPr="00380F60">
        <w:rPr>
          <w:rFonts w:ascii="Arial" w:eastAsia="Arial" w:hAnsi="Arial" w:cs="Arial"/>
        </w:rPr>
        <w:t xml:space="preserve"> findings will inform all project interventions with concrete plans and actions to avoid, </w:t>
      </w:r>
      <w:r w:rsidR="001008C5" w:rsidRPr="00380F60">
        <w:rPr>
          <w:rFonts w:ascii="Arial" w:eastAsia="Arial" w:hAnsi="Arial" w:cs="Arial"/>
        </w:rPr>
        <w:t>minimize</w:t>
      </w:r>
      <w:r w:rsidRPr="00380F60">
        <w:rPr>
          <w:rFonts w:ascii="Arial" w:eastAsia="Arial" w:hAnsi="Arial" w:cs="Arial"/>
        </w:rPr>
        <w:t xml:space="preserve">, mitigate and </w:t>
      </w:r>
      <w:r w:rsidR="001008C5" w:rsidRPr="00380F60">
        <w:rPr>
          <w:rFonts w:ascii="Arial" w:eastAsia="Arial" w:hAnsi="Arial" w:cs="Arial"/>
        </w:rPr>
        <w:t>respond to</w:t>
      </w:r>
      <w:r w:rsidRPr="00380F60">
        <w:rPr>
          <w:rFonts w:ascii="Arial" w:eastAsia="Arial" w:hAnsi="Arial" w:cs="Arial"/>
        </w:rPr>
        <w:t xml:space="preserve"> negative social or environmental impacts. Similarly, gender-sensitive and gender-responsive </w:t>
      </w:r>
      <w:r w:rsidR="001008C5" w:rsidRPr="00380F60">
        <w:rPr>
          <w:rFonts w:ascii="Arial" w:eastAsia="Arial" w:hAnsi="Arial" w:cs="Arial"/>
        </w:rPr>
        <w:t>approaches will</w:t>
      </w:r>
      <w:r w:rsidRPr="00380F60">
        <w:rPr>
          <w:rFonts w:ascii="Arial" w:eastAsia="Arial" w:hAnsi="Arial" w:cs="Arial"/>
        </w:rPr>
        <w:t xml:space="preserve"> be integrated in the conservation and </w:t>
      </w:r>
      <w:r w:rsidR="001008C5" w:rsidRPr="00380F60">
        <w:rPr>
          <w:rFonts w:ascii="Arial" w:eastAsia="Arial" w:hAnsi="Arial" w:cs="Arial"/>
        </w:rPr>
        <w:t>sustainable management</w:t>
      </w:r>
      <w:r w:rsidRPr="00380F60">
        <w:rPr>
          <w:rFonts w:ascii="Arial" w:eastAsia="Arial" w:hAnsi="Arial" w:cs="Arial"/>
        </w:rPr>
        <w:t xml:space="preserve"> of the coastal and marine ecosystem, </w:t>
      </w:r>
      <w:r w:rsidR="001008C5" w:rsidRPr="00380F60">
        <w:rPr>
          <w:rFonts w:ascii="Arial" w:eastAsia="Arial" w:hAnsi="Arial" w:cs="Arial"/>
        </w:rPr>
        <w:t>with the</w:t>
      </w:r>
      <w:r w:rsidRPr="00380F60">
        <w:rPr>
          <w:rFonts w:ascii="Arial" w:eastAsia="Arial" w:hAnsi="Arial" w:cs="Arial"/>
        </w:rPr>
        <w:t xml:space="preserve"> needs, concerns, and experiences of women </w:t>
      </w:r>
      <w:r w:rsidR="001008C5" w:rsidRPr="00380F60">
        <w:rPr>
          <w:rFonts w:ascii="Arial" w:eastAsia="Arial" w:hAnsi="Arial" w:cs="Arial"/>
        </w:rPr>
        <w:t>and girls</w:t>
      </w:r>
      <w:r w:rsidRPr="00380F60">
        <w:rPr>
          <w:rFonts w:ascii="Arial" w:eastAsia="Arial" w:hAnsi="Arial" w:cs="Arial"/>
        </w:rPr>
        <w:t xml:space="preserve">, as well as of men and boys, are recognized; where women are equally represented and able to meaningfully participate in planning and decision-making, and their contribution and efforts recognized in policy, management and research. </w:t>
      </w:r>
    </w:p>
    <w:p w14:paraId="7719E755" w14:textId="77777777" w:rsidR="00380F60" w:rsidRPr="00380F60" w:rsidRDefault="00380F60" w:rsidP="00380F60">
      <w:pPr>
        <w:spacing w:after="0" w:line="240" w:lineRule="auto"/>
        <w:jc w:val="both"/>
        <w:rPr>
          <w:rFonts w:ascii="Arial" w:eastAsia="Arial" w:hAnsi="Arial" w:cs="Arial"/>
        </w:rPr>
      </w:pPr>
    </w:p>
    <w:p w14:paraId="37CC90A1" w14:textId="77777777" w:rsidR="00380F60" w:rsidRPr="00380F60" w:rsidRDefault="00380F60" w:rsidP="00380F60">
      <w:pPr>
        <w:spacing w:after="0" w:line="240" w:lineRule="auto"/>
        <w:jc w:val="both"/>
        <w:rPr>
          <w:rFonts w:ascii="Arial" w:eastAsia="Arial" w:hAnsi="Arial" w:cs="Arial"/>
        </w:rPr>
      </w:pPr>
    </w:p>
    <w:p w14:paraId="3DD547EE" w14:textId="77777777" w:rsidR="00380F60" w:rsidRPr="00380F60" w:rsidRDefault="00380F60" w:rsidP="00380F60">
      <w:pPr>
        <w:numPr>
          <w:ilvl w:val="0"/>
          <w:numId w:val="3"/>
        </w:numPr>
        <w:spacing w:after="0" w:line="240" w:lineRule="auto"/>
        <w:rPr>
          <w:rFonts w:ascii="Arial" w:eastAsia="Arial" w:hAnsi="Arial" w:cs="Arial"/>
          <w:b/>
          <w:bCs/>
        </w:rPr>
      </w:pPr>
      <w:r w:rsidRPr="00380F60">
        <w:rPr>
          <w:rFonts w:ascii="Arial" w:eastAsia="Arial" w:hAnsi="Arial" w:cs="Arial"/>
          <w:b/>
          <w:bCs/>
        </w:rPr>
        <w:t>Scope of Services</w:t>
      </w:r>
    </w:p>
    <w:p w14:paraId="3A354E54" w14:textId="77777777" w:rsidR="00380F60" w:rsidRPr="00380F60" w:rsidRDefault="00380F60" w:rsidP="00380F60">
      <w:pPr>
        <w:spacing w:after="0" w:line="240" w:lineRule="auto"/>
        <w:jc w:val="both"/>
        <w:rPr>
          <w:rFonts w:ascii="Arial" w:eastAsia="Arial" w:hAnsi="Arial" w:cs="Arial"/>
        </w:rPr>
      </w:pPr>
    </w:p>
    <w:p w14:paraId="2A0AB054" w14:textId="77777777" w:rsidR="00380F60" w:rsidRPr="00380F60" w:rsidRDefault="00380F60" w:rsidP="00380F60">
      <w:pPr>
        <w:spacing w:after="0" w:line="240" w:lineRule="auto"/>
        <w:jc w:val="both"/>
        <w:rPr>
          <w:rFonts w:ascii="Arial" w:eastAsia="Arial" w:hAnsi="Arial" w:cs="Arial"/>
        </w:rPr>
      </w:pPr>
      <w:r w:rsidRPr="00380F60">
        <w:rPr>
          <w:rFonts w:ascii="Arial" w:eastAsia="Arial" w:hAnsi="Arial" w:cs="Arial"/>
        </w:rPr>
        <w:t>The Local FPIC-Gender-Safeguards Consultant will support the implementation of the ESMF, IPPF, and GAAP, working closely with the ASEAN ENMAPs Gender-Safeguards Specialist (GSS), and the Regional Safeguards Consultant in close coordination with the Project Management Unit (PMU) and National Implementation Unit. The Consultant is tasked to coordinate and conduct/ facilitate field consultations, screening, assessments and activities at the ASEAN ENMAPS sites in Philippines and submit the required reports for the following:</w:t>
      </w:r>
    </w:p>
    <w:p w14:paraId="771B48C0" w14:textId="77777777" w:rsidR="00380F60" w:rsidRDefault="00380F60" w:rsidP="00380F60">
      <w:pPr>
        <w:spacing w:after="0" w:line="240" w:lineRule="auto"/>
        <w:jc w:val="both"/>
        <w:rPr>
          <w:rFonts w:ascii="Arial" w:eastAsia="Arial" w:hAnsi="Arial" w:cs="Arial"/>
        </w:rPr>
      </w:pPr>
    </w:p>
    <w:p w14:paraId="08F4F8EE" w14:textId="77777777" w:rsidR="001008C5" w:rsidRPr="00380F60" w:rsidRDefault="001008C5" w:rsidP="00380F60">
      <w:pPr>
        <w:spacing w:after="0" w:line="240" w:lineRule="auto"/>
        <w:jc w:val="both"/>
        <w:rPr>
          <w:rFonts w:ascii="Arial" w:eastAsia="Arial" w:hAnsi="Arial" w:cs="Arial"/>
        </w:rPr>
      </w:pPr>
    </w:p>
    <w:p w14:paraId="6CC2DD77" w14:textId="77777777" w:rsidR="00380F60" w:rsidRPr="00380F60" w:rsidRDefault="00380F60" w:rsidP="00380F60">
      <w:pPr>
        <w:numPr>
          <w:ilvl w:val="0"/>
          <w:numId w:val="2"/>
        </w:numPr>
        <w:spacing w:after="0" w:line="240" w:lineRule="auto"/>
        <w:jc w:val="both"/>
        <w:rPr>
          <w:rFonts w:ascii="Arial" w:eastAsia="Arial" w:hAnsi="Arial" w:cs="Arial"/>
        </w:rPr>
      </w:pPr>
      <w:r w:rsidRPr="00380F60">
        <w:rPr>
          <w:rFonts w:ascii="Arial" w:eastAsia="Arial" w:hAnsi="Arial" w:cs="Arial"/>
        </w:rPr>
        <w:lastRenderedPageBreak/>
        <w:t>Social and Environmental Screening Procedure (SESP)</w:t>
      </w:r>
    </w:p>
    <w:p w14:paraId="0AB717D8" w14:textId="77777777" w:rsidR="00380F60" w:rsidRPr="00380F60" w:rsidRDefault="00380F60" w:rsidP="00380F60">
      <w:pPr>
        <w:numPr>
          <w:ilvl w:val="0"/>
          <w:numId w:val="2"/>
        </w:numPr>
        <w:spacing w:after="0" w:line="240" w:lineRule="auto"/>
        <w:jc w:val="both"/>
        <w:rPr>
          <w:rFonts w:ascii="Arial" w:eastAsia="Arial" w:hAnsi="Arial" w:cs="Arial"/>
        </w:rPr>
      </w:pPr>
      <w:r w:rsidRPr="00380F60">
        <w:rPr>
          <w:rFonts w:ascii="Arial" w:eastAsia="Arial" w:hAnsi="Arial" w:cs="Arial"/>
        </w:rPr>
        <w:t xml:space="preserve">Strategic Environmental and Social Assessment (SESA) of “upstream” (policies and management plans) activities </w:t>
      </w:r>
    </w:p>
    <w:p w14:paraId="2D1A6574" w14:textId="77777777" w:rsidR="00380F60" w:rsidRPr="00380F60" w:rsidRDefault="00380F60" w:rsidP="00380F60">
      <w:pPr>
        <w:numPr>
          <w:ilvl w:val="0"/>
          <w:numId w:val="2"/>
        </w:numPr>
        <w:spacing w:after="0" w:line="240" w:lineRule="auto"/>
        <w:jc w:val="both"/>
        <w:rPr>
          <w:rFonts w:ascii="Arial" w:eastAsia="Arial" w:hAnsi="Arial" w:cs="Arial"/>
        </w:rPr>
      </w:pPr>
      <w:r w:rsidRPr="00380F60">
        <w:rPr>
          <w:rFonts w:ascii="Arial" w:eastAsia="Arial" w:hAnsi="Arial" w:cs="Arial"/>
        </w:rPr>
        <w:t>Environmental and Social Impact Assessments (ESIA), studies, and onsite screening and impact-management of “downstream” (with physical footprint) interventions</w:t>
      </w:r>
    </w:p>
    <w:p w14:paraId="68B2DE84" w14:textId="77777777" w:rsidR="00380F60" w:rsidRPr="00380F60" w:rsidRDefault="00380F60" w:rsidP="00380F60">
      <w:pPr>
        <w:numPr>
          <w:ilvl w:val="0"/>
          <w:numId w:val="2"/>
        </w:numPr>
        <w:spacing w:after="0" w:line="240" w:lineRule="auto"/>
        <w:jc w:val="both"/>
        <w:rPr>
          <w:rFonts w:ascii="Arial" w:eastAsia="Arial" w:hAnsi="Arial" w:cs="Arial"/>
        </w:rPr>
      </w:pPr>
      <w:r w:rsidRPr="00380F60">
        <w:rPr>
          <w:rFonts w:ascii="Arial" w:eastAsia="Arial" w:hAnsi="Arial" w:cs="Arial"/>
        </w:rPr>
        <w:t xml:space="preserve">Environmental and Social Management Plan (ESMP) including identified management measures as required based on the SESA and ESIA results </w:t>
      </w:r>
    </w:p>
    <w:p w14:paraId="310F63D1" w14:textId="77777777" w:rsidR="00380F60" w:rsidRPr="00380F60" w:rsidRDefault="00380F60" w:rsidP="00380F60">
      <w:pPr>
        <w:numPr>
          <w:ilvl w:val="0"/>
          <w:numId w:val="2"/>
        </w:numPr>
        <w:spacing w:after="0" w:line="240" w:lineRule="auto"/>
        <w:jc w:val="both"/>
        <w:rPr>
          <w:rFonts w:ascii="Arial" w:eastAsia="Arial" w:hAnsi="Arial" w:cs="Arial"/>
        </w:rPr>
      </w:pPr>
      <w:r w:rsidRPr="00380F60">
        <w:rPr>
          <w:rFonts w:ascii="Arial" w:eastAsia="Arial" w:hAnsi="Arial" w:cs="Arial"/>
        </w:rPr>
        <w:t>Operationalization of the project-level Grievance Redress Mechanism (GRM);</w:t>
      </w:r>
    </w:p>
    <w:p w14:paraId="3675180D" w14:textId="77777777" w:rsidR="00380F60" w:rsidRPr="00380F60" w:rsidRDefault="00380F60" w:rsidP="00380F60">
      <w:pPr>
        <w:numPr>
          <w:ilvl w:val="0"/>
          <w:numId w:val="2"/>
        </w:numPr>
        <w:spacing w:after="0" w:line="240" w:lineRule="auto"/>
        <w:jc w:val="both"/>
        <w:rPr>
          <w:rFonts w:ascii="Arial" w:eastAsia="Arial" w:hAnsi="Arial" w:cs="Arial"/>
        </w:rPr>
      </w:pPr>
      <w:r w:rsidRPr="00380F60">
        <w:rPr>
          <w:rFonts w:ascii="Arial" w:eastAsia="Arial" w:hAnsi="Arial" w:cs="Arial"/>
        </w:rPr>
        <w:t>Free, Prior and Informed Consent (FPIC) in all activities affecting indigenous peoples; and development of Indigenous Peoples Plans (IPPs) aligned with the IPP Framework (IPPF)</w:t>
      </w:r>
    </w:p>
    <w:p w14:paraId="45287D5E" w14:textId="1649DAFD" w:rsidR="00380F60" w:rsidRPr="00380F60" w:rsidRDefault="00380F60" w:rsidP="00380F60">
      <w:pPr>
        <w:numPr>
          <w:ilvl w:val="0"/>
          <w:numId w:val="2"/>
        </w:numPr>
        <w:spacing w:after="0" w:line="240" w:lineRule="auto"/>
        <w:jc w:val="both"/>
        <w:rPr>
          <w:rFonts w:ascii="Arial" w:eastAsia="Arial" w:hAnsi="Arial" w:cs="Arial"/>
        </w:rPr>
      </w:pPr>
      <w:r w:rsidRPr="00380F60">
        <w:rPr>
          <w:rFonts w:ascii="Arial" w:eastAsia="Arial" w:hAnsi="Arial" w:cs="Arial"/>
        </w:rPr>
        <w:t xml:space="preserve">Implementation of the Stakeholder Engagement Plan and Gender Analysis and Action Plan, with inputs for the updated country Stakeholder and Gender </w:t>
      </w:r>
      <w:r w:rsidR="001008C5" w:rsidRPr="00380F60">
        <w:rPr>
          <w:rFonts w:ascii="Arial" w:eastAsia="Arial" w:hAnsi="Arial" w:cs="Arial"/>
        </w:rPr>
        <w:t>Analysis (</w:t>
      </w:r>
      <w:r w:rsidRPr="00380F60">
        <w:rPr>
          <w:rFonts w:ascii="Arial" w:eastAsia="Arial" w:hAnsi="Arial" w:cs="Arial"/>
        </w:rPr>
        <w:t xml:space="preserve">identification of local champions and provision of special women's desk in target sites), including delivery of trainings on mainstreaming of gender equality and social inclusion </w:t>
      </w:r>
    </w:p>
    <w:p w14:paraId="3D5E6666" w14:textId="77777777" w:rsidR="00380F60" w:rsidRPr="00380F60" w:rsidRDefault="00380F60" w:rsidP="00380F60">
      <w:pPr>
        <w:numPr>
          <w:ilvl w:val="0"/>
          <w:numId w:val="2"/>
        </w:numPr>
        <w:spacing w:after="0" w:line="240" w:lineRule="auto"/>
        <w:jc w:val="both"/>
        <w:rPr>
          <w:rFonts w:ascii="Arial" w:eastAsia="Arial" w:hAnsi="Arial" w:cs="Arial"/>
        </w:rPr>
      </w:pPr>
      <w:r w:rsidRPr="00380F60">
        <w:rPr>
          <w:rFonts w:ascii="Arial" w:eastAsia="Arial" w:hAnsi="Arial" w:cs="Arial"/>
        </w:rPr>
        <w:t>Adopt the ASEAN ENMAPs Comprehensive Consultation Tool and Consultation Checklist in field assessments, stakeholder meetings, capacity-building trainings, etc. where information on GRM is disseminated in all activities; with complaints from the GRM recorded in the Grievance Registry and GRM Committee.</w:t>
      </w:r>
    </w:p>
    <w:p w14:paraId="698B3C6E" w14:textId="77777777" w:rsidR="00380F60" w:rsidRPr="00380F60" w:rsidRDefault="00380F60" w:rsidP="00380F60">
      <w:pPr>
        <w:spacing w:after="0" w:line="240" w:lineRule="auto"/>
        <w:jc w:val="both"/>
        <w:rPr>
          <w:rFonts w:ascii="Arial" w:eastAsia="Arial" w:hAnsi="Arial" w:cs="Arial"/>
        </w:rPr>
      </w:pPr>
    </w:p>
    <w:p w14:paraId="1D9A3EF3" w14:textId="77777777" w:rsidR="00380F60" w:rsidRPr="00380F60" w:rsidRDefault="00380F60" w:rsidP="00380F60">
      <w:pPr>
        <w:numPr>
          <w:ilvl w:val="0"/>
          <w:numId w:val="3"/>
        </w:numPr>
        <w:spacing w:after="0" w:line="240" w:lineRule="auto"/>
        <w:jc w:val="both"/>
        <w:rPr>
          <w:rFonts w:ascii="Arial" w:eastAsia="Arial" w:hAnsi="Arial" w:cs="Arial"/>
          <w:b/>
          <w:bCs/>
        </w:rPr>
      </w:pPr>
      <w:r w:rsidRPr="00380F60">
        <w:rPr>
          <w:rFonts w:ascii="Arial" w:eastAsia="Arial" w:hAnsi="Arial" w:cs="Arial"/>
          <w:b/>
          <w:bCs/>
        </w:rPr>
        <w:t>Expected Outputs/Deliverables</w:t>
      </w:r>
    </w:p>
    <w:p w14:paraId="416DB4D6" w14:textId="77777777" w:rsidR="00380F60" w:rsidRPr="00380F60" w:rsidRDefault="00380F60" w:rsidP="00380F60">
      <w:pPr>
        <w:spacing w:after="0" w:line="240" w:lineRule="auto"/>
        <w:jc w:val="both"/>
        <w:rPr>
          <w:rFonts w:ascii="Arial" w:eastAsia="Arial" w:hAnsi="Arial" w:cs="Arial"/>
        </w:rPr>
      </w:pPr>
    </w:p>
    <w:p w14:paraId="28BF574D" w14:textId="77777777" w:rsidR="00380F60" w:rsidRPr="00380F60" w:rsidRDefault="00380F60" w:rsidP="00380F60">
      <w:pPr>
        <w:numPr>
          <w:ilvl w:val="0"/>
          <w:numId w:val="5"/>
        </w:numPr>
        <w:spacing w:after="0" w:line="240" w:lineRule="auto"/>
        <w:ind w:left="714" w:hanging="357"/>
        <w:jc w:val="both"/>
        <w:rPr>
          <w:rFonts w:ascii="Arial" w:eastAsia="Arial" w:hAnsi="Arial" w:cs="Arial"/>
        </w:rPr>
      </w:pPr>
      <w:r w:rsidRPr="00380F60">
        <w:rPr>
          <w:rFonts w:ascii="Arial" w:eastAsia="Arial" w:hAnsi="Arial" w:cs="Arial"/>
        </w:rPr>
        <w:t>Submit monthly brief (2 pages) progress reports with updates on securing the FPIC, conduct of the social and environmental screening and assessments, GRM, SES and GAAP activities including participatory monitoring, capacity buildings, Private Sector Due Diligence (PSDD) as appropriate. Progress reports should indicate how the Comprehensive Consultation Tool and Consultation Checklist were applied.</w:t>
      </w:r>
    </w:p>
    <w:p w14:paraId="4F84EB7B" w14:textId="2D3F9840" w:rsidR="00380F60" w:rsidRPr="00380F60" w:rsidRDefault="00380F60" w:rsidP="00380F60">
      <w:pPr>
        <w:numPr>
          <w:ilvl w:val="0"/>
          <w:numId w:val="5"/>
        </w:numPr>
        <w:spacing w:after="0" w:line="240" w:lineRule="auto"/>
        <w:ind w:left="714" w:hanging="357"/>
        <w:jc w:val="both"/>
        <w:rPr>
          <w:rFonts w:ascii="Arial" w:eastAsia="Arial" w:hAnsi="Arial" w:cs="Arial"/>
        </w:rPr>
      </w:pPr>
      <w:r w:rsidRPr="00380F60">
        <w:rPr>
          <w:rFonts w:ascii="Arial" w:eastAsia="Arial" w:hAnsi="Arial" w:cs="Arial"/>
        </w:rPr>
        <w:t xml:space="preserve">Enlist services of </w:t>
      </w:r>
      <w:proofErr w:type="spellStart"/>
      <w:r w:rsidRPr="00380F60">
        <w:rPr>
          <w:rFonts w:ascii="Arial" w:eastAsia="Arial" w:hAnsi="Arial" w:cs="Arial"/>
        </w:rPr>
        <w:t>documentor</w:t>
      </w:r>
      <w:proofErr w:type="spellEnd"/>
      <w:r w:rsidRPr="00380F60">
        <w:rPr>
          <w:rFonts w:ascii="Arial" w:eastAsia="Arial" w:hAnsi="Arial" w:cs="Arial"/>
        </w:rPr>
        <w:t xml:space="preserve">/s, and consolidate and finalize assessment reports and findings of the SESP, SESA, and ESIA. </w:t>
      </w:r>
      <w:r w:rsidR="001008C5" w:rsidRPr="00380F60">
        <w:rPr>
          <w:rFonts w:ascii="Arial" w:eastAsia="Arial" w:hAnsi="Arial" w:cs="Arial"/>
        </w:rPr>
        <w:t>Reports should</w:t>
      </w:r>
      <w:r w:rsidRPr="00380F60">
        <w:rPr>
          <w:rFonts w:ascii="Arial" w:eastAsia="Arial" w:hAnsi="Arial" w:cs="Arial"/>
        </w:rPr>
        <w:t xml:space="preserve"> include agreements and recommendations, quotes from different stakeholders including women, indigenous peoples (IP) and local communities (LCs), and other marginalized groups; brief profile of participants, total no. of participants, segregated per gender. Annexes should include: list of all stakeholders interviewed, and participants in the meetings and capacity-building </w:t>
      </w:r>
      <w:r w:rsidR="001008C5" w:rsidRPr="00380F60">
        <w:rPr>
          <w:rFonts w:ascii="Arial" w:eastAsia="Arial" w:hAnsi="Arial" w:cs="Arial"/>
        </w:rPr>
        <w:t>training where</w:t>
      </w:r>
      <w:r w:rsidRPr="00380F60">
        <w:rPr>
          <w:rFonts w:ascii="Arial" w:eastAsia="Arial" w:hAnsi="Arial" w:cs="Arial"/>
        </w:rPr>
        <w:t xml:space="preserve"> gender, age, occupation or membership to IP and LCs are indicated, pictures with captions of all </w:t>
      </w:r>
      <w:r w:rsidR="001008C5" w:rsidRPr="00380F60">
        <w:rPr>
          <w:rFonts w:ascii="Arial" w:eastAsia="Arial" w:hAnsi="Arial" w:cs="Arial"/>
        </w:rPr>
        <w:t>activities conducted</w:t>
      </w:r>
      <w:r w:rsidRPr="00380F60">
        <w:rPr>
          <w:rFonts w:ascii="Arial" w:eastAsia="Arial" w:hAnsi="Arial" w:cs="Arial"/>
        </w:rPr>
        <w:t xml:space="preserve"> including interviews, scanned attendance sheets, consent forms, etc.</w:t>
      </w:r>
    </w:p>
    <w:p w14:paraId="394AA49A" w14:textId="77777777" w:rsidR="00380F60" w:rsidRPr="00380F60" w:rsidRDefault="00380F60" w:rsidP="00380F60">
      <w:pPr>
        <w:numPr>
          <w:ilvl w:val="0"/>
          <w:numId w:val="5"/>
        </w:numPr>
        <w:spacing w:after="0" w:line="240" w:lineRule="auto"/>
        <w:ind w:left="714" w:hanging="357"/>
        <w:jc w:val="both"/>
        <w:rPr>
          <w:rFonts w:ascii="Arial" w:eastAsia="Arial" w:hAnsi="Arial" w:cs="Arial"/>
        </w:rPr>
      </w:pPr>
      <w:r w:rsidRPr="00380F60">
        <w:rPr>
          <w:rFonts w:ascii="Arial" w:eastAsia="Arial" w:hAnsi="Arial" w:cs="Arial"/>
        </w:rPr>
        <w:t>Submit the ESMP and IPP developed together with and validated by stakeholders.</w:t>
      </w:r>
    </w:p>
    <w:p w14:paraId="7F997664" w14:textId="559CC1F9" w:rsidR="00380F60" w:rsidRPr="00380F60" w:rsidRDefault="00380F60" w:rsidP="00380F60">
      <w:pPr>
        <w:numPr>
          <w:ilvl w:val="0"/>
          <w:numId w:val="5"/>
        </w:numPr>
        <w:spacing w:after="0" w:line="240" w:lineRule="auto"/>
        <w:ind w:left="714" w:hanging="357"/>
        <w:jc w:val="both"/>
        <w:rPr>
          <w:rFonts w:ascii="Arial" w:eastAsia="Arial" w:hAnsi="Arial" w:cs="Arial"/>
        </w:rPr>
      </w:pPr>
      <w:r w:rsidRPr="00380F60">
        <w:rPr>
          <w:rFonts w:ascii="Arial" w:eastAsia="Arial" w:hAnsi="Arial" w:cs="Arial"/>
        </w:rPr>
        <w:t xml:space="preserve">Provide inputs to monitoring and evaluation and prepare updates, as needed, of the </w:t>
      </w:r>
      <w:r w:rsidR="001008C5" w:rsidRPr="00380F60">
        <w:rPr>
          <w:rFonts w:ascii="Arial" w:eastAsia="Arial" w:hAnsi="Arial" w:cs="Arial"/>
        </w:rPr>
        <w:t>SESP, ESMF</w:t>
      </w:r>
      <w:r w:rsidRPr="00380F60">
        <w:rPr>
          <w:rFonts w:ascii="Arial" w:eastAsia="Arial" w:hAnsi="Arial" w:cs="Arial"/>
        </w:rPr>
        <w:t xml:space="preserve">/ESMP, IPPF/IPP, Stakeholder Engagement Plan, Gender Action Plan, Climate and Disaster </w:t>
      </w:r>
      <w:r w:rsidR="001008C5" w:rsidRPr="00380F60">
        <w:rPr>
          <w:rFonts w:ascii="Arial" w:eastAsia="Arial" w:hAnsi="Arial" w:cs="Arial"/>
        </w:rPr>
        <w:t>Risk Screening</w:t>
      </w:r>
      <w:r w:rsidRPr="00380F60">
        <w:rPr>
          <w:rFonts w:ascii="Arial" w:eastAsia="Arial" w:hAnsi="Arial" w:cs="Arial"/>
        </w:rPr>
        <w:t xml:space="preserve">, COVID-19 Risks and Opportunities Analysis and other safeguard frameworks and </w:t>
      </w:r>
      <w:r w:rsidR="001008C5" w:rsidRPr="00380F60">
        <w:rPr>
          <w:rFonts w:ascii="Arial" w:eastAsia="Arial" w:hAnsi="Arial" w:cs="Arial"/>
        </w:rPr>
        <w:t>management plans</w:t>
      </w:r>
      <w:r w:rsidRPr="00380F60">
        <w:rPr>
          <w:rFonts w:ascii="Arial" w:eastAsia="Arial" w:hAnsi="Arial" w:cs="Arial"/>
        </w:rPr>
        <w:t>, as deemed appropriate.</w:t>
      </w:r>
    </w:p>
    <w:p w14:paraId="3D5FE159" w14:textId="77777777" w:rsidR="00380F60" w:rsidRPr="00380F60" w:rsidRDefault="00380F60" w:rsidP="00380F60">
      <w:pPr>
        <w:numPr>
          <w:ilvl w:val="0"/>
          <w:numId w:val="5"/>
        </w:numPr>
        <w:spacing w:after="0" w:line="240" w:lineRule="auto"/>
        <w:ind w:left="714" w:hanging="357"/>
        <w:jc w:val="both"/>
        <w:rPr>
          <w:rFonts w:ascii="Arial" w:eastAsia="Arial" w:hAnsi="Arial" w:cs="Arial"/>
        </w:rPr>
      </w:pPr>
      <w:r w:rsidRPr="00380F60">
        <w:rPr>
          <w:rFonts w:ascii="Arial" w:eastAsia="Arial" w:hAnsi="Arial" w:cs="Arial"/>
        </w:rPr>
        <w:t xml:space="preserve">Submit a progress report at mid-term detailing what has been completed, what are still to be done and the problems experienced.  In addition, determine whether the project is on track.  </w:t>
      </w:r>
    </w:p>
    <w:p w14:paraId="2254F976" w14:textId="77777777" w:rsidR="00380F60" w:rsidRPr="00380F60" w:rsidRDefault="00380F60" w:rsidP="00380F60">
      <w:pPr>
        <w:numPr>
          <w:ilvl w:val="0"/>
          <w:numId w:val="5"/>
        </w:numPr>
        <w:spacing w:after="0" w:line="240" w:lineRule="auto"/>
        <w:ind w:left="714" w:hanging="357"/>
        <w:jc w:val="both"/>
        <w:rPr>
          <w:rFonts w:ascii="Arial" w:eastAsia="Arial" w:hAnsi="Arial" w:cs="Arial"/>
        </w:rPr>
      </w:pPr>
      <w:r w:rsidRPr="00380F60">
        <w:rPr>
          <w:rFonts w:ascii="Arial" w:eastAsia="Arial" w:hAnsi="Arial" w:cs="Arial"/>
        </w:rPr>
        <w:t>All deliverables submitted should be in English language, with original versions in local (Filipino) language.</w:t>
      </w:r>
    </w:p>
    <w:p w14:paraId="30F2ED73" w14:textId="77777777" w:rsidR="00380F60" w:rsidRPr="00380F60" w:rsidRDefault="00380F60" w:rsidP="00380F60">
      <w:pPr>
        <w:spacing w:after="0" w:line="240" w:lineRule="auto"/>
        <w:jc w:val="both"/>
        <w:rPr>
          <w:rFonts w:ascii="Arial" w:eastAsia="Arial" w:hAnsi="Arial" w:cs="Arial"/>
        </w:rPr>
      </w:pPr>
    </w:p>
    <w:p w14:paraId="728C167D" w14:textId="77777777" w:rsidR="00380F60" w:rsidRDefault="00380F60" w:rsidP="00380F60">
      <w:pPr>
        <w:spacing w:after="0" w:line="240" w:lineRule="auto"/>
        <w:jc w:val="both"/>
        <w:rPr>
          <w:rFonts w:ascii="Arial" w:eastAsia="Arial" w:hAnsi="Arial" w:cs="Arial"/>
        </w:rPr>
      </w:pPr>
    </w:p>
    <w:p w14:paraId="47C5A194" w14:textId="77777777" w:rsidR="00380F60" w:rsidRDefault="00380F60" w:rsidP="00380F60">
      <w:pPr>
        <w:spacing w:after="0" w:line="240" w:lineRule="auto"/>
        <w:jc w:val="both"/>
        <w:rPr>
          <w:rFonts w:ascii="Arial" w:eastAsia="Arial" w:hAnsi="Arial" w:cs="Arial"/>
        </w:rPr>
      </w:pPr>
    </w:p>
    <w:p w14:paraId="090A35D7" w14:textId="77777777" w:rsidR="00380F60" w:rsidRDefault="00380F60" w:rsidP="00380F60">
      <w:pPr>
        <w:spacing w:after="0" w:line="240" w:lineRule="auto"/>
        <w:jc w:val="both"/>
        <w:rPr>
          <w:rFonts w:ascii="Arial" w:eastAsia="Arial" w:hAnsi="Arial" w:cs="Arial"/>
        </w:rPr>
      </w:pPr>
    </w:p>
    <w:p w14:paraId="534CF85C" w14:textId="77777777" w:rsidR="00380F60" w:rsidRDefault="00380F60" w:rsidP="00380F60">
      <w:pPr>
        <w:spacing w:after="0" w:line="240" w:lineRule="auto"/>
        <w:jc w:val="both"/>
        <w:rPr>
          <w:rFonts w:ascii="Arial" w:eastAsia="Arial" w:hAnsi="Arial" w:cs="Arial"/>
        </w:rPr>
      </w:pPr>
    </w:p>
    <w:p w14:paraId="2B546150" w14:textId="77777777" w:rsidR="00380F60" w:rsidRDefault="00380F60" w:rsidP="00380F60">
      <w:pPr>
        <w:spacing w:after="0" w:line="240" w:lineRule="auto"/>
        <w:jc w:val="both"/>
        <w:rPr>
          <w:rFonts w:ascii="Arial" w:eastAsia="Arial" w:hAnsi="Arial" w:cs="Arial"/>
        </w:rPr>
      </w:pPr>
    </w:p>
    <w:p w14:paraId="5271BB1E" w14:textId="77777777" w:rsidR="00380F60" w:rsidRPr="00380F60" w:rsidRDefault="00380F60" w:rsidP="00380F60">
      <w:pPr>
        <w:spacing w:after="0" w:line="240" w:lineRule="auto"/>
        <w:jc w:val="both"/>
        <w:rPr>
          <w:rFonts w:ascii="Arial" w:eastAsia="Arial" w:hAnsi="Arial" w:cs="Arial"/>
        </w:rPr>
      </w:pPr>
    </w:p>
    <w:p w14:paraId="03479EB8" w14:textId="77777777" w:rsidR="00380F60" w:rsidRPr="00380F60" w:rsidRDefault="00380F60" w:rsidP="00380F60">
      <w:pPr>
        <w:spacing w:after="0" w:line="240" w:lineRule="auto"/>
        <w:jc w:val="both"/>
        <w:rPr>
          <w:rFonts w:ascii="Arial" w:eastAsia="Arial" w:hAnsi="Arial" w:cs="Arial"/>
        </w:rPr>
      </w:pPr>
    </w:p>
    <w:p w14:paraId="6DA09C22" w14:textId="77777777" w:rsidR="00380F60" w:rsidRPr="00380F60" w:rsidRDefault="00380F60" w:rsidP="00380F60">
      <w:pPr>
        <w:numPr>
          <w:ilvl w:val="0"/>
          <w:numId w:val="4"/>
        </w:numPr>
        <w:spacing w:after="0" w:line="240" w:lineRule="auto"/>
        <w:jc w:val="both"/>
        <w:rPr>
          <w:rFonts w:ascii="Arial" w:eastAsia="Arial" w:hAnsi="Arial" w:cs="Arial"/>
          <w:b/>
          <w:bCs/>
        </w:rPr>
      </w:pPr>
      <w:r w:rsidRPr="00380F60">
        <w:rPr>
          <w:rFonts w:ascii="Arial" w:eastAsia="Arial" w:hAnsi="Arial" w:cs="Arial"/>
          <w:b/>
          <w:bCs/>
        </w:rPr>
        <w:lastRenderedPageBreak/>
        <w:t>Qualifications for the Successful Consultant</w:t>
      </w:r>
    </w:p>
    <w:p w14:paraId="4592B366" w14:textId="77777777" w:rsidR="00380F60" w:rsidRPr="00380F60" w:rsidRDefault="00380F60" w:rsidP="00380F60">
      <w:pPr>
        <w:spacing w:after="0" w:line="240" w:lineRule="auto"/>
        <w:ind w:left="720"/>
        <w:jc w:val="both"/>
        <w:rPr>
          <w:rFonts w:ascii="Arial" w:eastAsia="Arial" w:hAnsi="Arial" w:cs="Arial"/>
          <w:b/>
          <w:bCs/>
        </w:rPr>
      </w:pPr>
    </w:p>
    <w:tbl>
      <w:tblPr>
        <w:tblW w:w="8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3"/>
        <w:gridCol w:w="6633"/>
      </w:tblGrid>
      <w:tr w:rsidR="00380F60" w:rsidRPr="00380F60" w14:paraId="2CEBBF95" w14:textId="77777777" w:rsidTr="005D4F93">
        <w:tc>
          <w:tcPr>
            <w:tcW w:w="1663" w:type="dxa"/>
          </w:tcPr>
          <w:p w14:paraId="27F921F4" w14:textId="77777777" w:rsidR="00380F60" w:rsidRPr="00380F60" w:rsidRDefault="00380F60" w:rsidP="00380F60">
            <w:pPr>
              <w:spacing w:after="0" w:line="240" w:lineRule="auto"/>
              <w:jc w:val="both"/>
              <w:rPr>
                <w:rFonts w:ascii="Arial" w:eastAsia="Arial" w:hAnsi="Arial" w:cs="Arial"/>
              </w:rPr>
            </w:pPr>
            <w:r w:rsidRPr="00380F60">
              <w:rPr>
                <w:rFonts w:ascii="Arial" w:eastAsia="Arial" w:hAnsi="Arial" w:cs="Arial"/>
              </w:rPr>
              <w:t xml:space="preserve">Education </w:t>
            </w:r>
          </w:p>
        </w:tc>
        <w:tc>
          <w:tcPr>
            <w:tcW w:w="6633" w:type="dxa"/>
          </w:tcPr>
          <w:p w14:paraId="1B985593" w14:textId="6279A51F" w:rsidR="00380F60" w:rsidRPr="00380F60" w:rsidRDefault="00380F60" w:rsidP="00380F60">
            <w:pPr>
              <w:numPr>
                <w:ilvl w:val="0"/>
                <w:numId w:val="1"/>
              </w:numPr>
              <w:spacing w:after="0" w:line="240" w:lineRule="auto"/>
              <w:ind w:left="360"/>
              <w:jc w:val="both"/>
              <w:rPr>
                <w:rFonts w:ascii="Arial" w:eastAsia="Arial" w:hAnsi="Arial" w:cs="Arial"/>
              </w:rPr>
            </w:pPr>
            <w:r w:rsidRPr="00380F60">
              <w:rPr>
                <w:rFonts w:ascii="Arial" w:eastAsia="Arial" w:hAnsi="Arial" w:cs="Arial"/>
              </w:rPr>
              <w:t xml:space="preserve">Bachelor’s degree in social sciences, community development, gender studies, gender and </w:t>
            </w:r>
            <w:r w:rsidR="001008C5" w:rsidRPr="00380F60">
              <w:rPr>
                <w:rFonts w:ascii="Arial" w:eastAsia="Arial" w:hAnsi="Arial" w:cs="Arial"/>
              </w:rPr>
              <w:t>development, women</w:t>
            </w:r>
            <w:r w:rsidRPr="00380F60">
              <w:rPr>
                <w:rFonts w:ascii="Arial" w:eastAsia="Arial" w:hAnsi="Arial" w:cs="Arial"/>
              </w:rPr>
              <w:t xml:space="preserve"> and environment, sociology or any other related fields </w:t>
            </w:r>
          </w:p>
          <w:p w14:paraId="3E17AA44" w14:textId="77777777" w:rsidR="00380F60" w:rsidRPr="00380F60" w:rsidRDefault="00380F60" w:rsidP="00380F60">
            <w:pPr>
              <w:numPr>
                <w:ilvl w:val="0"/>
                <w:numId w:val="1"/>
              </w:numPr>
              <w:spacing w:after="0" w:line="240" w:lineRule="auto"/>
              <w:ind w:left="360"/>
              <w:jc w:val="both"/>
              <w:rPr>
                <w:rFonts w:ascii="Arial" w:eastAsia="Arial" w:hAnsi="Arial" w:cs="Arial"/>
              </w:rPr>
            </w:pPr>
            <w:r w:rsidRPr="00380F60">
              <w:rPr>
                <w:rFonts w:ascii="Arial" w:eastAsia="Arial" w:hAnsi="Arial" w:cs="Arial"/>
              </w:rPr>
              <w:t>Master’s degree on the same fields is an advantage</w:t>
            </w:r>
          </w:p>
        </w:tc>
      </w:tr>
      <w:tr w:rsidR="00380F60" w:rsidRPr="00380F60" w14:paraId="02400EC0" w14:textId="77777777" w:rsidTr="005D4F93">
        <w:tc>
          <w:tcPr>
            <w:tcW w:w="1663" w:type="dxa"/>
          </w:tcPr>
          <w:p w14:paraId="6B21788A" w14:textId="77777777" w:rsidR="00380F60" w:rsidRPr="00380F60" w:rsidRDefault="00380F60" w:rsidP="00380F60">
            <w:pPr>
              <w:spacing w:after="0" w:line="240" w:lineRule="auto"/>
              <w:jc w:val="both"/>
              <w:rPr>
                <w:rFonts w:ascii="Arial" w:eastAsia="Arial" w:hAnsi="Arial" w:cs="Arial"/>
              </w:rPr>
            </w:pPr>
            <w:r w:rsidRPr="00380F60">
              <w:rPr>
                <w:rFonts w:ascii="Arial" w:eastAsia="Arial" w:hAnsi="Arial" w:cs="Arial"/>
              </w:rPr>
              <w:t>Experience</w:t>
            </w:r>
          </w:p>
        </w:tc>
        <w:tc>
          <w:tcPr>
            <w:tcW w:w="6633" w:type="dxa"/>
          </w:tcPr>
          <w:p w14:paraId="7E1A35EC" w14:textId="4F8C6875" w:rsidR="00380F60" w:rsidRPr="00380F60" w:rsidRDefault="00380F60" w:rsidP="00380F60">
            <w:pPr>
              <w:numPr>
                <w:ilvl w:val="0"/>
                <w:numId w:val="6"/>
              </w:numPr>
              <w:spacing w:after="0" w:line="240" w:lineRule="auto"/>
              <w:ind w:left="316" w:hanging="283"/>
              <w:jc w:val="both"/>
              <w:rPr>
                <w:rFonts w:ascii="Arial" w:eastAsia="Arial" w:hAnsi="Arial" w:cs="Arial"/>
              </w:rPr>
            </w:pPr>
            <w:r w:rsidRPr="00380F60">
              <w:rPr>
                <w:rFonts w:ascii="Arial" w:eastAsia="Arial" w:hAnsi="Arial" w:cs="Arial"/>
              </w:rPr>
              <w:t xml:space="preserve">Minimum of five (5) years </w:t>
            </w:r>
            <w:r w:rsidR="001008C5" w:rsidRPr="00380F60">
              <w:rPr>
                <w:rFonts w:ascii="Arial" w:eastAsia="Arial" w:hAnsi="Arial" w:cs="Arial"/>
              </w:rPr>
              <w:t>of in</w:t>
            </w:r>
            <w:r w:rsidRPr="00380F60">
              <w:rPr>
                <w:rFonts w:ascii="Arial" w:eastAsia="Arial" w:hAnsi="Arial" w:cs="Arial"/>
              </w:rPr>
              <w:t xml:space="preserve"> the technical area of community development, gender mainstreaming, and social and </w:t>
            </w:r>
            <w:r w:rsidR="001008C5" w:rsidRPr="00380F60">
              <w:rPr>
                <w:rFonts w:ascii="Arial" w:eastAsia="Arial" w:hAnsi="Arial" w:cs="Arial"/>
              </w:rPr>
              <w:t>environmental safeguards</w:t>
            </w:r>
            <w:r w:rsidRPr="00380F60">
              <w:rPr>
                <w:rFonts w:ascii="Arial" w:eastAsia="Arial" w:hAnsi="Arial" w:cs="Arial"/>
              </w:rPr>
              <w:t xml:space="preserve"> risk assessment and mitigation </w:t>
            </w:r>
          </w:p>
          <w:p w14:paraId="4E939F3C" w14:textId="2EFCF4E6" w:rsidR="00380F60" w:rsidRPr="00380F60" w:rsidRDefault="00380F60" w:rsidP="00380F60">
            <w:pPr>
              <w:numPr>
                <w:ilvl w:val="0"/>
                <w:numId w:val="6"/>
              </w:numPr>
              <w:spacing w:after="0" w:line="240" w:lineRule="auto"/>
              <w:ind w:left="316" w:hanging="283"/>
              <w:jc w:val="both"/>
              <w:rPr>
                <w:rFonts w:ascii="Arial" w:eastAsia="Arial" w:hAnsi="Arial" w:cs="Arial"/>
              </w:rPr>
            </w:pPr>
            <w:r w:rsidRPr="00380F60">
              <w:rPr>
                <w:rFonts w:ascii="Arial" w:eastAsia="Arial" w:hAnsi="Arial" w:cs="Arial"/>
              </w:rPr>
              <w:t xml:space="preserve">Knowledge and experience on Marine Protected Areas and </w:t>
            </w:r>
            <w:r w:rsidR="001008C5" w:rsidRPr="00380F60">
              <w:rPr>
                <w:rFonts w:ascii="Arial" w:eastAsia="Arial" w:hAnsi="Arial" w:cs="Arial"/>
              </w:rPr>
              <w:t>biodiversity conservation</w:t>
            </w:r>
            <w:r w:rsidRPr="00380F60">
              <w:rPr>
                <w:rFonts w:ascii="Arial" w:eastAsia="Arial" w:hAnsi="Arial" w:cs="Arial"/>
              </w:rPr>
              <w:t xml:space="preserve"> is an advantage </w:t>
            </w:r>
          </w:p>
          <w:p w14:paraId="1050AE6C" w14:textId="77777777" w:rsidR="00380F60" w:rsidRPr="00380F60" w:rsidRDefault="00380F60" w:rsidP="00380F60">
            <w:pPr>
              <w:spacing w:after="0" w:line="240" w:lineRule="auto"/>
              <w:jc w:val="both"/>
              <w:rPr>
                <w:rFonts w:ascii="Arial" w:eastAsia="Arial" w:hAnsi="Arial" w:cs="Arial"/>
              </w:rPr>
            </w:pPr>
          </w:p>
        </w:tc>
      </w:tr>
      <w:tr w:rsidR="00380F60" w:rsidRPr="00380F60" w14:paraId="24185344" w14:textId="77777777" w:rsidTr="005D4F93">
        <w:tc>
          <w:tcPr>
            <w:tcW w:w="1663" w:type="dxa"/>
          </w:tcPr>
          <w:p w14:paraId="6E8280FD" w14:textId="77777777" w:rsidR="00380F60" w:rsidRPr="00380F60" w:rsidRDefault="00380F60" w:rsidP="00380F60">
            <w:pPr>
              <w:spacing w:after="0" w:line="240" w:lineRule="auto"/>
              <w:jc w:val="both"/>
              <w:rPr>
                <w:rFonts w:ascii="Arial" w:eastAsia="Arial" w:hAnsi="Arial" w:cs="Arial"/>
              </w:rPr>
            </w:pPr>
            <w:r w:rsidRPr="00380F60">
              <w:rPr>
                <w:rFonts w:ascii="Arial" w:eastAsia="Arial" w:hAnsi="Arial" w:cs="Arial"/>
              </w:rPr>
              <w:t>Language</w:t>
            </w:r>
          </w:p>
        </w:tc>
        <w:tc>
          <w:tcPr>
            <w:tcW w:w="6633" w:type="dxa"/>
          </w:tcPr>
          <w:p w14:paraId="1F9B4E52" w14:textId="77777777" w:rsidR="00380F60" w:rsidRPr="00380F60" w:rsidRDefault="00380F60" w:rsidP="00380F60">
            <w:pPr>
              <w:spacing w:after="0" w:line="240" w:lineRule="auto"/>
              <w:jc w:val="both"/>
              <w:rPr>
                <w:rFonts w:ascii="Arial" w:eastAsia="Arial" w:hAnsi="Arial" w:cs="Arial"/>
              </w:rPr>
            </w:pPr>
            <w:r w:rsidRPr="00380F60">
              <w:rPr>
                <w:rFonts w:ascii="Arial" w:eastAsia="Arial" w:hAnsi="Arial" w:cs="Arial"/>
              </w:rPr>
              <w:t xml:space="preserve">Proficiency in spoken and written English and </w:t>
            </w:r>
            <w:proofErr w:type="spellStart"/>
            <w:r w:rsidRPr="00380F60">
              <w:rPr>
                <w:rFonts w:ascii="Arial" w:eastAsia="Arial" w:hAnsi="Arial" w:cs="Arial"/>
              </w:rPr>
              <w:t>Filipinois</w:t>
            </w:r>
            <w:proofErr w:type="spellEnd"/>
            <w:r w:rsidRPr="00380F60">
              <w:rPr>
                <w:rFonts w:ascii="Arial" w:eastAsia="Arial" w:hAnsi="Arial" w:cs="Arial"/>
              </w:rPr>
              <w:t xml:space="preserve"> required </w:t>
            </w:r>
          </w:p>
        </w:tc>
      </w:tr>
    </w:tbl>
    <w:p w14:paraId="543F2960" w14:textId="77777777" w:rsidR="00380F60" w:rsidRPr="00380F60" w:rsidRDefault="00380F60" w:rsidP="00380F60">
      <w:pPr>
        <w:spacing w:after="0" w:line="240" w:lineRule="auto"/>
        <w:ind w:left="720"/>
        <w:jc w:val="both"/>
        <w:rPr>
          <w:rFonts w:ascii="Arial" w:eastAsia="Arial" w:hAnsi="Arial" w:cs="Arial"/>
        </w:rPr>
      </w:pPr>
    </w:p>
    <w:p w14:paraId="16232144" w14:textId="77777777" w:rsidR="00380F60" w:rsidRPr="00380F60" w:rsidRDefault="00380F60" w:rsidP="00380F60">
      <w:pPr>
        <w:spacing w:after="0" w:line="240" w:lineRule="auto"/>
        <w:jc w:val="both"/>
        <w:rPr>
          <w:rFonts w:ascii="Arial" w:eastAsia="Arial" w:hAnsi="Arial" w:cs="Arial"/>
        </w:rPr>
      </w:pPr>
    </w:p>
    <w:p w14:paraId="5CBFFBED" w14:textId="77777777" w:rsidR="00380F60" w:rsidRPr="00380F60" w:rsidRDefault="00380F60" w:rsidP="00380F60">
      <w:pPr>
        <w:spacing w:after="0" w:line="240" w:lineRule="auto"/>
        <w:jc w:val="both"/>
        <w:rPr>
          <w:rFonts w:ascii="Arial" w:eastAsia="Arial" w:hAnsi="Arial" w:cs="Arial"/>
        </w:rPr>
      </w:pPr>
    </w:p>
    <w:p w14:paraId="4C30A537" w14:textId="77777777" w:rsidR="00380F60" w:rsidRPr="00380F60" w:rsidRDefault="00380F60" w:rsidP="00380F60">
      <w:pPr>
        <w:numPr>
          <w:ilvl w:val="0"/>
          <w:numId w:val="4"/>
        </w:numPr>
        <w:spacing w:after="0" w:line="240" w:lineRule="auto"/>
        <w:jc w:val="both"/>
        <w:rPr>
          <w:rFonts w:ascii="Arial" w:eastAsia="Arial" w:hAnsi="Arial" w:cs="Arial"/>
          <w:b/>
          <w:bCs/>
        </w:rPr>
      </w:pPr>
      <w:r w:rsidRPr="00380F60">
        <w:rPr>
          <w:rFonts w:ascii="Arial" w:eastAsia="Arial" w:hAnsi="Arial" w:cs="Arial"/>
          <w:b/>
          <w:bCs/>
        </w:rPr>
        <w:t>Implementation Period/Duration of Contract</w:t>
      </w:r>
    </w:p>
    <w:p w14:paraId="013EFAF6" w14:textId="77777777" w:rsidR="00380F60" w:rsidRPr="00380F60" w:rsidRDefault="00380F60" w:rsidP="00380F60">
      <w:pPr>
        <w:spacing w:after="0" w:line="240" w:lineRule="auto"/>
        <w:jc w:val="both"/>
        <w:rPr>
          <w:rFonts w:ascii="Arial" w:eastAsia="Arial" w:hAnsi="Arial" w:cs="Arial"/>
        </w:rPr>
      </w:pPr>
    </w:p>
    <w:p w14:paraId="682E69E2" w14:textId="77777777" w:rsidR="00380F60" w:rsidRPr="00380F60" w:rsidRDefault="00380F60" w:rsidP="00380F60">
      <w:pPr>
        <w:spacing w:after="0" w:line="240" w:lineRule="auto"/>
        <w:jc w:val="both"/>
        <w:rPr>
          <w:rFonts w:ascii="Arial" w:eastAsia="Arial" w:hAnsi="Arial" w:cs="Arial"/>
        </w:rPr>
      </w:pPr>
      <w:r w:rsidRPr="00380F60">
        <w:rPr>
          <w:rFonts w:ascii="Arial" w:eastAsia="Arial" w:hAnsi="Arial" w:cs="Arial"/>
        </w:rPr>
        <w:t xml:space="preserve">This contract is effective for twelve (12) months starting on the date of contract signing. </w:t>
      </w:r>
    </w:p>
    <w:p w14:paraId="57A0FDFC" w14:textId="77777777" w:rsidR="00380F60" w:rsidRPr="00380F60" w:rsidRDefault="00380F60" w:rsidP="00380F60">
      <w:pPr>
        <w:spacing w:after="0" w:line="240" w:lineRule="auto"/>
        <w:jc w:val="both"/>
        <w:rPr>
          <w:rFonts w:ascii="Arial" w:eastAsia="Arial" w:hAnsi="Arial" w:cs="Arial"/>
        </w:rPr>
      </w:pPr>
    </w:p>
    <w:p w14:paraId="563C8DA7" w14:textId="77777777" w:rsidR="00380F60" w:rsidRPr="00380F60" w:rsidRDefault="00380F60" w:rsidP="00380F60">
      <w:pPr>
        <w:numPr>
          <w:ilvl w:val="0"/>
          <w:numId w:val="4"/>
        </w:numPr>
        <w:spacing w:after="0" w:line="240" w:lineRule="auto"/>
        <w:jc w:val="both"/>
        <w:rPr>
          <w:rFonts w:ascii="Arial" w:eastAsia="Arial" w:hAnsi="Arial" w:cs="Arial"/>
          <w:b/>
          <w:bCs/>
        </w:rPr>
      </w:pPr>
      <w:r w:rsidRPr="00380F60">
        <w:rPr>
          <w:rFonts w:ascii="Arial" w:eastAsia="Arial" w:hAnsi="Arial" w:cs="Arial"/>
          <w:b/>
          <w:bCs/>
        </w:rPr>
        <w:t>Implementation Arrangement</w:t>
      </w:r>
    </w:p>
    <w:p w14:paraId="6C132917" w14:textId="77777777" w:rsidR="00380F60" w:rsidRPr="00380F60" w:rsidRDefault="00380F60" w:rsidP="00380F60">
      <w:pPr>
        <w:spacing w:after="0" w:line="240" w:lineRule="auto"/>
        <w:jc w:val="both"/>
        <w:rPr>
          <w:rFonts w:ascii="Arial" w:eastAsia="Arial" w:hAnsi="Arial" w:cs="Arial"/>
        </w:rPr>
      </w:pPr>
    </w:p>
    <w:p w14:paraId="361C4700" w14:textId="77777777" w:rsidR="00380F60" w:rsidRPr="00380F60" w:rsidRDefault="00380F60" w:rsidP="00380F60">
      <w:pPr>
        <w:spacing w:after="0" w:line="240" w:lineRule="auto"/>
        <w:jc w:val="both"/>
        <w:rPr>
          <w:rFonts w:ascii="Arial" w:eastAsia="Arial" w:hAnsi="Arial" w:cs="Arial"/>
        </w:rPr>
      </w:pPr>
      <w:r w:rsidRPr="00380F60">
        <w:rPr>
          <w:rFonts w:ascii="Arial" w:eastAsia="Arial" w:hAnsi="Arial" w:cs="Arial"/>
        </w:rPr>
        <w:t xml:space="preserve">This consultancy contract is under the management and supervision of the ASEAN ENMAPS PM-CTA and progress of work will be monitored by the ASEAN ENMAPS Gender-Safeguards Specialist. </w:t>
      </w:r>
      <w:bookmarkEnd w:id="0"/>
    </w:p>
    <w:p w14:paraId="355DDC79" w14:textId="77777777" w:rsidR="00A22D3F" w:rsidRDefault="00A22D3F">
      <w:pPr>
        <w:rPr>
          <w:rFonts w:ascii="Arial" w:eastAsia="Arial" w:hAnsi="Arial" w:cs="Arial"/>
        </w:rPr>
      </w:pPr>
    </w:p>
    <w:p w14:paraId="6CDFCC4C" w14:textId="77777777" w:rsidR="00A22D3F" w:rsidRDefault="00A22D3F">
      <w:pPr>
        <w:rPr>
          <w:rFonts w:ascii="Arial" w:eastAsia="Arial" w:hAnsi="Arial" w:cs="Arial"/>
        </w:rPr>
      </w:pPr>
    </w:p>
    <w:p w14:paraId="60AD5E3E" w14:textId="77777777" w:rsidR="00A22D3F" w:rsidRDefault="00A22D3F">
      <w:pPr>
        <w:rPr>
          <w:rFonts w:ascii="Arial" w:eastAsia="Arial" w:hAnsi="Arial" w:cs="Arial"/>
        </w:rPr>
      </w:pPr>
    </w:p>
    <w:p w14:paraId="76055A3F" w14:textId="77777777" w:rsidR="00A22D3F" w:rsidRDefault="00A22D3F">
      <w:pPr>
        <w:rPr>
          <w:rFonts w:ascii="Arial" w:eastAsia="Arial" w:hAnsi="Arial" w:cs="Arial"/>
        </w:rPr>
      </w:pPr>
    </w:p>
    <w:p w14:paraId="4664080A" w14:textId="77777777" w:rsidR="00A22D3F" w:rsidRDefault="00A22D3F">
      <w:pPr>
        <w:rPr>
          <w:rFonts w:ascii="Arial" w:eastAsia="Arial" w:hAnsi="Arial" w:cs="Arial"/>
        </w:rPr>
      </w:pPr>
    </w:p>
    <w:p w14:paraId="069549DE" w14:textId="77777777" w:rsidR="00A22D3F" w:rsidRDefault="00A22D3F">
      <w:pPr>
        <w:rPr>
          <w:rFonts w:ascii="Arial" w:eastAsia="Arial" w:hAnsi="Arial" w:cs="Arial"/>
        </w:rPr>
      </w:pPr>
    </w:p>
    <w:p w14:paraId="057D5167" w14:textId="77777777" w:rsidR="00A22D3F" w:rsidRDefault="00A22D3F">
      <w:pPr>
        <w:rPr>
          <w:rFonts w:ascii="Arial" w:eastAsia="Arial" w:hAnsi="Arial" w:cs="Arial"/>
        </w:rPr>
      </w:pPr>
    </w:p>
    <w:sectPr w:rsidR="00A22D3F">
      <w:headerReference w:type="default" r:id="rId7"/>
      <w:footerReference w:type="default" r:id="rId8"/>
      <w:headerReference w:type="first" r:id="rId9"/>
      <w:footerReference w:type="first" r:id="rId10"/>
      <w:pgSz w:w="11906" w:h="16838"/>
      <w:pgMar w:top="1440" w:right="1440" w:bottom="1440" w:left="1440" w:header="1134"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B536F" w14:textId="77777777" w:rsidR="00B0008C" w:rsidRDefault="00B0008C">
      <w:pPr>
        <w:spacing w:after="0" w:line="240" w:lineRule="auto"/>
      </w:pPr>
      <w:r>
        <w:separator/>
      </w:r>
    </w:p>
  </w:endnote>
  <w:endnote w:type="continuationSeparator" w:id="0">
    <w:p w14:paraId="4BE01DE7" w14:textId="77777777" w:rsidR="00B0008C" w:rsidRDefault="00B00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1EC2" w14:textId="77777777" w:rsidR="00A22D3F"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60288" behindDoc="0" locked="0" layoutInCell="1" hidden="0" allowOverlap="1" wp14:anchorId="364CA071" wp14:editId="34B3E6CB">
          <wp:simplePos x="0" y="0"/>
          <wp:positionH relativeFrom="column">
            <wp:posOffset>-914399</wp:posOffset>
          </wp:positionH>
          <wp:positionV relativeFrom="paragraph">
            <wp:posOffset>-822142</wp:posOffset>
          </wp:positionV>
          <wp:extent cx="7598775" cy="972367"/>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98775" cy="972367"/>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A416" w14:textId="77777777" w:rsidR="00A22D3F"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61312" behindDoc="0" locked="0" layoutInCell="1" hidden="0" allowOverlap="1" wp14:anchorId="33362274" wp14:editId="3ED47E61">
          <wp:simplePos x="0" y="0"/>
          <wp:positionH relativeFrom="column">
            <wp:posOffset>-914399</wp:posOffset>
          </wp:positionH>
          <wp:positionV relativeFrom="paragraph">
            <wp:posOffset>-813434</wp:posOffset>
          </wp:positionV>
          <wp:extent cx="7606665" cy="97409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606665" cy="97409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16A1" w14:textId="77777777" w:rsidR="00B0008C" w:rsidRDefault="00B0008C">
      <w:pPr>
        <w:spacing w:after="0" w:line="240" w:lineRule="auto"/>
      </w:pPr>
      <w:r>
        <w:separator/>
      </w:r>
    </w:p>
  </w:footnote>
  <w:footnote w:type="continuationSeparator" w:id="0">
    <w:p w14:paraId="343C3FFF" w14:textId="77777777" w:rsidR="00B0008C" w:rsidRDefault="00B00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8477" w14:textId="77777777" w:rsidR="00A22D3F"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114300" distR="114300" simplePos="0" relativeHeight="251658240" behindDoc="0" locked="0" layoutInCell="1" hidden="0" allowOverlap="1" wp14:anchorId="6720FE44" wp14:editId="77C75D21">
          <wp:simplePos x="0" y="0"/>
          <wp:positionH relativeFrom="page">
            <wp:align>left</wp:align>
          </wp:positionH>
          <wp:positionV relativeFrom="page">
            <wp:align>top</wp:align>
          </wp:positionV>
          <wp:extent cx="7780849" cy="671641"/>
          <wp:effectExtent l="0" t="0" r="0" b="0"/>
          <wp:wrapSquare wrapText="bothSides" distT="0" distB="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80849" cy="67164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6790" w14:textId="77777777" w:rsidR="00A22D3F"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9264" behindDoc="0" locked="0" layoutInCell="1" hidden="0" allowOverlap="1" wp14:anchorId="74A9C81E" wp14:editId="306F26F4">
          <wp:simplePos x="0" y="0"/>
          <wp:positionH relativeFrom="column">
            <wp:posOffset>-914399</wp:posOffset>
          </wp:positionH>
          <wp:positionV relativeFrom="paragraph">
            <wp:posOffset>-720361</wp:posOffset>
          </wp:positionV>
          <wp:extent cx="7698740" cy="914400"/>
          <wp:effectExtent l="0" t="0" r="0" b="0"/>
          <wp:wrapTopAndBottom distT="0" dist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98740" cy="914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FCB"/>
    <w:multiLevelType w:val="multilevel"/>
    <w:tmpl w:val="6AA84386"/>
    <w:lvl w:ilvl="0">
      <w:start w:val="1"/>
      <w:numFmt w:val="upperRoman"/>
      <w:lvlText w:val="%1."/>
      <w:lvlJc w:val="left"/>
      <w:pPr>
        <w:ind w:left="720" w:hanging="72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 w15:restartNumberingAfterBreak="0">
    <w:nsid w:val="0BA327C6"/>
    <w:multiLevelType w:val="multilevel"/>
    <w:tmpl w:val="162E6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6E6E73"/>
    <w:multiLevelType w:val="multilevel"/>
    <w:tmpl w:val="EF042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7C0C12"/>
    <w:multiLevelType w:val="multilevel"/>
    <w:tmpl w:val="69266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63FD1D62"/>
    <w:multiLevelType w:val="multilevel"/>
    <w:tmpl w:val="E6F60FEE"/>
    <w:lvl w:ilvl="0">
      <w:start w:val="1"/>
      <w:numFmt w:val="upperRoman"/>
      <w:lvlText w:val="%1."/>
      <w:lvlJc w:val="left"/>
      <w:pPr>
        <w:ind w:left="720" w:hanging="72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5" w15:restartNumberingAfterBreak="0">
    <w:nsid w:val="6D006BAF"/>
    <w:multiLevelType w:val="multilevel"/>
    <w:tmpl w:val="ED964D3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700546056">
    <w:abstractNumId w:val="1"/>
  </w:num>
  <w:num w:numId="2" w16cid:durableId="1737627521">
    <w:abstractNumId w:val="2"/>
  </w:num>
  <w:num w:numId="3" w16cid:durableId="1433817047">
    <w:abstractNumId w:val="4"/>
  </w:num>
  <w:num w:numId="4" w16cid:durableId="1024479041">
    <w:abstractNumId w:val="0"/>
  </w:num>
  <w:num w:numId="5" w16cid:durableId="789708868">
    <w:abstractNumId w:val="3"/>
  </w:num>
  <w:num w:numId="6" w16cid:durableId="1609315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D3F"/>
    <w:rsid w:val="001008C5"/>
    <w:rsid w:val="00380F60"/>
    <w:rsid w:val="004E7391"/>
    <w:rsid w:val="00745CB9"/>
    <w:rsid w:val="00A22D3F"/>
    <w:rsid w:val="00B0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5264"/>
  <w15:docId w15:val="{13CA14FB-480F-4FAF-9D30-C2DEB3E6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1058</Words>
  <Characters>6031</Characters>
  <Application>Microsoft Office Word</Application>
  <DocSecurity>0</DocSecurity>
  <Lines>50</Lines>
  <Paragraphs>14</Paragraphs>
  <ScaleCrop>false</ScaleCrop>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tonyrey.aberos</dc:creator>
  <cp:lastModifiedBy>tonyrey.aberos</cp:lastModifiedBy>
  <cp:revision>3</cp:revision>
  <dcterms:created xsi:type="dcterms:W3CDTF">2026-01-13T03:40:00Z</dcterms:created>
  <dcterms:modified xsi:type="dcterms:W3CDTF">2026-01-13T03:44:00Z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7dec5596-945d-45d4-bf2b-a60f7515d54c</vt:lpwstr>
  </property>
</Properties>
</file>