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8678E6" w14:textId="77777777" w:rsidR="000C1A2A" w:rsidRPr="000C1A2A" w:rsidRDefault="000C1A2A" w:rsidP="000C1A2A">
      <w:pPr>
        <w:jc w:val="center"/>
        <w:rPr>
          <w:rFonts w:ascii="Arial" w:eastAsia="Arial" w:hAnsi="Arial" w:cs="Arial"/>
          <w:b/>
          <w:bCs/>
          <w:sz w:val="22"/>
          <w:szCs w:val="22"/>
        </w:rPr>
      </w:pPr>
      <w:bookmarkStart w:id="0" w:name="_GoBack"/>
      <w:bookmarkEnd w:id="0"/>
      <w:r w:rsidRPr="000C1A2A">
        <w:rPr>
          <w:rFonts w:ascii="Arial" w:eastAsia="Arial" w:hAnsi="Arial" w:cs="Arial"/>
          <w:b/>
          <w:bCs/>
          <w:sz w:val="22"/>
          <w:szCs w:val="22"/>
        </w:rPr>
        <w:t>TERMS OF REFERENCE</w:t>
      </w:r>
    </w:p>
    <w:p w14:paraId="27D8BFBC" w14:textId="77777777" w:rsidR="000C1A2A" w:rsidRPr="000C1A2A" w:rsidRDefault="000C1A2A" w:rsidP="000C1A2A">
      <w:pPr>
        <w:rPr>
          <w:rFonts w:ascii="Arial" w:eastAsia="Arial" w:hAnsi="Arial" w:cs="Arial"/>
          <w:sz w:val="22"/>
          <w:szCs w:val="22"/>
        </w:rPr>
      </w:pPr>
    </w:p>
    <w:p w14:paraId="41406145" w14:textId="6CBC01F9" w:rsidR="000C1A2A" w:rsidRPr="000C1A2A" w:rsidRDefault="000C1A2A" w:rsidP="000C1A2A">
      <w:pPr>
        <w:rPr>
          <w:rFonts w:ascii="Arial" w:eastAsia="Arial" w:hAnsi="Arial" w:cs="Arial"/>
          <w:sz w:val="22"/>
          <w:szCs w:val="22"/>
        </w:rPr>
      </w:pPr>
      <w:r w:rsidRPr="000C1A2A">
        <w:rPr>
          <w:rFonts w:ascii="Arial" w:eastAsia="Arial" w:hAnsi="Arial" w:cs="Arial"/>
          <w:b/>
          <w:bCs/>
          <w:sz w:val="22"/>
          <w:szCs w:val="22"/>
        </w:rPr>
        <w:t>POSITION TITLE</w:t>
      </w:r>
      <w:r w:rsidRPr="000C1A2A">
        <w:rPr>
          <w:rFonts w:ascii="Arial" w:eastAsia="Arial" w:hAnsi="Arial" w:cs="Arial"/>
          <w:sz w:val="22"/>
          <w:szCs w:val="22"/>
        </w:rPr>
        <w:t xml:space="preserve"> </w:t>
      </w:r>
      <w:r>
        <w:rPr>
          <w:rFonts w:ascii="Arial" w:eastAsia="Arial" w:hAnsi="Arial" w:cs="Arial"/>
          <w:sz w:val="22"/>
          <w:szCs w:val="22"/>
        </w:rPr>
        <w:t xml:space="preserve">               </w:t>
      </w:r>
      <w:r w:rsidRPr="000C1A2A">
        <w:rPr>
          <w:rFonts w:ascii="Arial" w:eastAsia="Arial" w:hAnsi="Arial" w:cs="Arial"/>
          <w:sz w:val="22"/>
          <w:szCs w:val="22"/>
        </w:rPr>
        <w:t>: Firm- Stakeholder-Led Enhancement of MPA Plans and</w:t>
      </w:r>
    </w:p>
    <w:p w14:paraId="5DE062F7" w14:textId="6EB5967E" w:rsidR="000C1A2A" w:rsidRPr="000C1A2A" w:rsidRDefault="000C1A2A" w:rsidP="000C1A2A">
      <w:pPr>
        <w:ind w:firstLine="2700"/>
        <w:rPr>
          <w:rFonts w:ascii="Arial" w:eastAsia="Arial" w:hAnsi="Arial" w:cs="Arial"/>
          <w:sz w:val="22"/>
          <w:szCs w:val="22"/>
        </w:rPr>
      </w:pPr>
      <w:r>
        <w:rPr>
          <w:rFonts w:ascii="Arial" w:eastAsia="Arial" w:hAnsi="Arial" w:cs="Arial"/>
          <w:sz w:val="22"/>
          <w:szCs w:val="22"/>
        </w:rPr>
        <w:t xml:space="preserve">  </w:t>
      </w:r>
      <w:r w:rsidRPr="000C1A2A">
        <w:rPr>
          <w:rFonts w:ascii="Arial" w:eastAsia="Arial" w:hAnsi="Arial" w:cs="Arial"/>
          <w:sz w:val="22"/>
          <w:szCs w:val="22"/>
        </w:rPr>
        <w:t>Development of Sustainable Financing for MPAs in Thailand</w:t>
      </w:r>
    </w:p>
    <w:p w14:paraId="044181D7" w14:textId="03A48F18" w:rsidR="000C1A2A" w:rsidRPr="000C1A2A" w:rsidRDefault="000C1A2A" w:rsidP="000C1A2A">
      <w:pPr>
        <w:rPr>
          <w:rFonts w:ascii="Arial" w:eastAsia="Arial" w:hAnsi="Arial" w:cs="Arial"/>
          <w:sz w:val="22"/>
          <w:szCs w:val="22"/>
        </w:rPr>
      </w:pPr>
      <w:r w:rsidRPr="000C1A2A">
        <w:rPr>
          <w:rFonts w:ascii="Arial" w:eastAsia="Arial" w:hAnsi="Arial" w:cs="Arial"/>
          <w:b/>
          <w:bCs/>
          <w:sz w:val="22"/>
          <w:szCs w:val="22"/>
        </w:rPr>
        <w:t xml:space="preserve">PROJECT </w:t>
      </w:r>
      <w:r w:rsidRPr="000C1A2A">
        <w:rPr>
          <w:rFonts w:ascii="Arial" w:eastAsia="Arial" w:hAnsi="Arial" w:cs="Arial"/>
          <w:sz w:val="22"/>
          <w:szCs w:val="22"/>
        </w:rPr>
        <w:t xml:space="preserve">                        </w:t>
      </w:r>
      <w:r>
        <w:rPr>
          <w:rFonts w:ascii="Arial" w:eastAsia="Arial" w:hAnsi="Arial" w:cs="Arial"/>
          <w:sz w:val="22"/>
          <w:szCs w:val="22"/>
        </w:rPr>
        <w:t xml:space="preserve">  </w:t>
      </w:r>
      <w:r w:rsidRPr="000C1A2A">
        <w:rPr>
          <w:rFonts w:ascii="Arial" w:eastAsia="Arial" w:hAnsi="Arial" w:cs="Arial"/>
          <w:sz w:val="22"/>
          <w:szCs w:val="22"/>
        </w:rPr>
        <w:t xml:space="preserve">: </w:t>
      </w:r>
      <w:r>
        <w:rPr>
          <w:rFonts w:ascii="Arial" w:eastAsia="Arial" w:hAnsi="Arial" w:cs="Arial"/>
          <w:sz w:val="22"/>
          <w:szCs w:val="22"/>
        </w:rPr>
        <w:t xml:space="preserve"> </w:t>
      </w:r>
      <w:r w:rsidRPr="000C1A2A">
        <w:rPr>
          <w:rFonts w:ascii="Arial" w:eastAsia="Arial" w:hAnsi="Arial" w:cs="Arial"/>
          <w:sz w:val="22"/>
          <w:szCs w:val="22"/>
        </w:rPr>
        <w:t>ASEAN ENMAPS – Effectively Managing Networks of Marine</w:t>
      </w:r>
    </w:p>
    <w:p w14:paraId="601EBBFE" w14:textId="6D999CD2" w:rsidR="000C1A2A" w:rsidRPr="000C1A2A" w:rsidRDefault="000C1A2A" w:rsidP="000C1A2A">
      <w:pPr>
        <w:ind w:firstLine="2700"/>
        <w:rPr>
          <w:rFonts w:ascii="Arial" w:eastAsia="Arial" w:hAnsi="Arial" w:cs="Arial"/>
          <w:sz w:val="22"/>
          <w:szCs w:val="22"/>
        </w:rPr>
      </w:pPr>
      <w:r>
        <w:rPr>
          <w:rFonts w:ascii="Arial" w:eastAsia="Arial" w:hAnsi="Arial" w:cs="Arial"/>
          <w:sz w:val="22"/>
          <w:szCs w:val="22"/>
        </w:rPr>
        <w:t xml:space="preserve">   </w:t>
      </w:r>
      <w:r w:rsidRPr="000C1A2A">
        <w:rPr>
          <w:rFonts w:ascii="Arial" w:eastAsia="Arial" w:hAnsi="Arial" w:cs="Arial"/>
          <w:sz w:val="22"/>
          <w:szCs w:val="22"/>
        </w:rPr>
        <w:t>Protected Areas in Large Marine Ecosystems in the ASEAN</w:t>
      </w:r>
    </w:p>
    <w:p w14:paraId="3A0B8D3B" w14:textId="10A63346" w:rsidR="000C1A2A" w:rsidRPr="000C1A2A" w:rsidRDefault="000C1A2A" w:rsidP="000C1A2A">
      <w:pPr>
        <w:ind w:firstLine="2700"/>
        <w:rPr>
          <w:rFonts w:ascii="Arial" w:eastAsia="Arial" w:hAnsi="Arial" w:cs="Arial"/>
          <w:sz w:val="22"/>
          <w:szCs w:val="22"/>
        </w:rPr>
      </w:pPr>
      <w:r>
        <w:rPr>
          <w:rFonts w:ascii="Arial" w:eastAsia="Arial" w:hAnsi="Arial" w:cs="Arial"/>
          <w:sz w:val="22"/>
          <w:szCs w:val="22"/>
        </w:rPr>
        <w:t xml:space="preserve">   </w:t>
      </w:r>
      <w:r w:rsidRPr="000C1A2A">
        <w:rPr>
          <w:rFonts w:ascii="Arial" w:eastAsia="Arial" w:hAnsi="Arial" w:cs="Arial"/>
          <w:sz w:val="22"/>
          <w:szCs w:val="22"/>
        </w:rPr>
        <w:t>Region</w:t>
      </w:r>
    </w:p>
    <w:p w14:paraId="0D26912E" w14:textId="77777777" w:rsidR="000C1A2A" w:rsidRDefault="000C1A2A" w:rsidP="000C1A2A">
      <w:pPr>
        <w:rPr>
          <w:rFonts w:ascii="Arial" w:eastAsia="Arial" w:hAnsi="Arial" w:cs="Arial"/>
          <w:sz w:val="22"/>
          <w:szCs w:val="22"/>
        </w:rPr>
      </w:pPr>
      <w:r w:rsidRPr="000C1A2A">
        <w:rPr>
          <w:rFonts w:ascii="Arial" w:eastAsia="Arial" w:hAnsi="Arial" w:cs="Arial"/>
          <w:b/>
          <w:bCs/>
          <w:sz w:val="22"/>
          <w:szCs w:val="22"/>
        </w:rPr>
        <w:t xml:space="preserve">LOCATION    </w:t>
      </w:r>
      <w:r>
        <w:rPr>
          <w:rFonts w:ascii="Arial" w:eastAsia="Arial" w:hAnsi="Arial" w:cs="Arial"/>
          <w:sz w:val="22"/>
          <w:szCs w:val="22"/>
        </w:rPr>
        <w:t xml:space="preserve">                     : </w:t>
      </w:r>
      <w:r w:rsidRPr="000C1A2A">
        <w:rPr>
          <w:rFonts w:ascii="Arial" w:eastAsia="Arial" w:hAnsi="Arial" w:cs="Arial"/>
          <w:sz w:val="22"/>
          <w:szCs w:val="22"/>
        </w:rPr>
        <w:t>Thailand (with field missions to Ranong Bios</w:t>
      </w:r>
      <w:r>
        <w:rPr>
          <w:rFonts w:ascii="Arial" w:eastAsia="Arial" w:hAnsi="Arial" w:cs="Arial"/>
          <w:sz w:val="22"/>
          <w:szCs w:val="22"/>
        </w:rPr>
        <w:t xml:space="preserve"> </w:t>
      </w:r>
      <w:r w:rsidRPr="000C1A2A">
        <w:rPr>
          <w:rFonts w:ascii="Arial" w:eastAsia="Arial" w:hAnsi="Arial" w:cs="Arial"/>
          <w:sz w:val="22"/>
          <w:szCs w:val="22"/>
        </w:rPr>
        <w:t xml:space="preserve">Reserve, Mu Ko </w:t>
      </w:r>
      <w:r>
        <w:rPr>
          <w:rFonts w:ascii="Arial" w:eastAsia="Arial" w:hAnsi="Arial" w:cs="Arial"/>
          <w:sz w:val="22"/>
          <w:szCs w:val="22"/>
        </w:rPr>
        <w:t xml:space="preserve"> </w:t>
      </w:r>
    </w:p>
    <w:p w14:paraId="4556CF9D" w14:textId="77777777" w:rsidR="000C1A2A" w:rsidRDefault="000C1A2A" w:rsidP="000C1A2A">
      <w:pPr>
        <w:rPr>
          <w:rFonts w:ascii="Arial" w:eastAsia="Arial" w:hAnsi="Arial" w:cs="Arial"/>
          <w:sz w:val="22"/>
          <w:szCs w:val="22"/>
        </w:rPr>
      </w:pPr>
      <w:r>
        <w:rPr>
          <w:rFonts w:ascii="Arial" w:eastAsia="Arial" w:hAnsi="Arial" w:cs="Arial"/>
          <w:sz w:val="22"/>
          <w:szCs w:val="22"/>
        </w:rPr>
        <w:t xml:space="preserve">                                              </w:t>
      </w:r>
      <w:r w:rsidRPr="000C1A2A">
        <w:rPr>
          <w:rFonts w:ascii="Arial" w:eastAsia="Arial" w:hAnsi="Arial" w:cs="Arial"/>
          <w:sz w:val="22"/>
          <w:szCs w:val="22"/>
        </w:rPr>
        <w:t>Surin National Park, Mu Ko Similan</w:t>
      </w:r>
      <w:r>
        <w:rPr>
          <w:rFonts w:ascii="Arial" w:eastAsia="Arial" w:hAnsi="Arial" w:cs="Arial"/>
          <w:sz w:val="22"/>
          <w:szCs w:val="22"/>
        </w:rPr>
        <w:t xml:space="preserve"> </w:t>
      </w:r>
      <w:r w:rsidRPr="000C1A2A">
        <w:rPr>
          <w:rFonts w:ascii="Arial" w:eastAsia="Arial" w:hAnsi="Arial" w:cs="Arial"/>
          <w:sz w:val="22"/>
          <w:szCs w:val="22"/>
        </w:rPr>
        <w:t xml:space="preserve">National Park, </w:t>
      </w:r>
      <w:proofErr w:type="spellStart"/>
      <w:r w:rsidRPr="000C1A2A">
        <w:rPr>
          <w:rFonts w:ascii="Arial" w:eastAsia="Arial" w:hAnsi="Arial" w:cs="Arial"/>
          <w:sz w:val="22"/>
          <w:szCs w:val="22"/>
        </w:rPr>
        <w:t>Tarutao</w:t>
      </w:r>
      <w:proofErr w:type="spellEnd"/>
      <w:r w:rsidRPr="000C1A2A">
        <w:rPr>
          <w:rFonts w:ascii="Arial" w:eastAsia="Arial" w:hAnsi="Arial" w:cs="Arial"/>
          <w:sz w:val="22"/>
          <w:szCs w:val="22"/>
        </w:rPr>
        <w:t xml:space="preserve"> </w:t>
      </w:r>
      <w:r>
        <w:rPr>
          <w:rFonts w:ascii="Arial" w:eastAsia="Arial" w:hAnsi="Arial" w:cs="Arial"/>
          <w:sz w:val="22"/>
          <w:szCs w:val="22"/>
        </w:rPr>
        <w:t xml:space="preserve"> </w:t>
      </w:r>
    </w:p>
    <w:p w14:paraId="487B421C" w14:textId="77777777" w:rsidR="000C1A2A" w:rsidRDefault="000C1A2A" w:rsidP="000C1A2A">
      <w:pPr>
        <w:rPr>
          <w:rFonts w:ascii="Arial" w:eastAsia="Arial" w:hAnsi="Arial" w:cs="Arial"/>
          <w:sz w:val="22"/>
          <w:szCs w:val="22"/>
        </w:rPr>
      </w:pPr>
      <w:r>
        <w:rPr>
          <w:rFonts w:ascii="Arial" w:eastAsia="Arial" w:hAnsi="Arial" w:cs="Arial"/>
          <w:sz w:val="22"/>
          <w:szCs w:val="22"/>
        </w:rPr>
        <w:t xml:space="preserve">                                              </w:t>
      </w:r>
      <w:r w:rsidRPr="000C1A2A">
        <w:rPr>
          <w:rFonts w:ascii="Arial" w:eastAsia="Arial" w:hAnsi="Arial" w:cs="Arial"/>
          <w:sz w:val="22"/>
          <w:szCs w:val="22"/>
        </w:rPr>
        <w:t>National Park, and the proposed</w:t>
      </w:r>
      <w:r>
        <w:rPr>
          <w:rFonts w:ascii="Arial" w:eastAsia="Arial" w:hAnsi="Arial" w:cs="Arial"/>
          <w:sz w:val="22"/>
          <w:szCs w:val="22"/>
        </w:rPr>
        <w:t xml:space="preserve"> </w:t>
      </w:r>
      <w:r w:rsidRPr="000C1A2A">
        <w:rPr>
          <w:rFonts w:ascii="Arial" w:eastAsia="Arial" w:hAnsi="Arial" w:cs="Arial"/>
          <w:sz w:val="22"/>
          <w:szCs w:val="22"/>
        </w:rPr>
        <w:t xml:space="preserve">Locally Managed Marine Area </w:t>
      </w:r>
      <w:r>
        <w:rPr>
          <w:rFonts w:ascii="Arial" w:eastAsia="Arial" w:hAnsi="Arial" w:cs="Arial"/>
          <w:sz w:val="22"/>
          <w:szCs w:val="22"/>
        </w:rPr>
        <w:t xml:space="preserve"> </w:t>
      </w:r>
    </w:p>
    <w:p w14:paraId="3D9894FF" w14:textId="72366F2F" w:rsidR="000C1A2A" w:rsidRPr="000C1A2A" w:rsidRDefault="000C1A2A" w:rsidP="000C1A2A">
      <w:pPr>
        <w:rPr>
          <w:rFonts w:ascii="Arial" w:eastAsia="Arial" w:hAnsi="Arial" w:cs="Arial"/>
          <w:sz w:val="22"/>
          <w:szCs w:val="22"/>
        </w:rPr>
      </w:pPr>
      <w:r>
        <w:rPr>
          <w:rFonts w:ascii="Arial" w:eastAsia="Arial" w:hAnsi="Arial" w:cs="Arial"/>
          <w:sz w:val="22"/>
          <w:szCs w:val="22"/>
        </w:rPr>
        <w:t xml:space="preserve">                                              </w:t>
      </w:r>
      <w:r w:rsidRPr="000C1A2A">
        <w:rPr>
          <w:rFonts w:ascii="Arial" w:eastAsia="Arial" w:hAnsi="Arial" w:cs="Arial"/>
          <w:sz w:val="22"/>
          <w:szCs w:val="22"/>
        </w:rPr>
        <w:t>(LMMA)</w:t>
      </w:r>
    </w:p>
    <w:p w14:paraId="70B044A8" w14:textId="18839D9D" w:rsidR="000C1A2A" w:rsidRPr="000C1A2A" w:rsidRDefault="000C1A2A" w:rsidP="000C1A2A">
      <w:pPr>
        <w:rPr>
          <w:rFonts w:ascii="Arial" w:eastAsia="Arial" w:hAnsi="Arial" w:cs="Arial"/>
          <w:sz w:val="22"/>
          <w:szCs w:val="22"/>
        </w:rPr>
      </w:pPr>
      <w:r w:rsidRPr="000C1A2A">
        <w:rPr>
          <w:rFonts w:ascii="Arial" w:eastAsia="Arial" w:hAnsi="Arial" w:cs="Arial"/>
          <w:b/>
          <w:bCs/>
          <w:sz w:val="22"/>
          <w:szCs w:val="22"/>
        </w:rPr>
        <w:t xml:space="preserve">DURATION      </w:t>
      </w:r>
      <w:r>
        <w:rPr>
          <w:rFonts w:ascii="Arial" w:eastAsia="Arial" w:hAnsi="Arial" w:cs="Arial"/>
          <w:sz w:val="22"/>
          <w:szCs w:val="22"/>
        </w:rPr>
        <w:t xml:space="preserve">                   : </w:t>
      </w:r>
      <w:r w:rsidRPr="000C1A2A">
        <w:rPr>
          <w:rFonts w:ascii="Arial" w:eastAsia="Arial" w:hAnsi="Arial" w:cs="Arial"/>
          <w:sz w:val="22"/>
          <w:szCs w:val="22"/>
        </w:rPr>
        <w:t xml:space="preserve">Ten (10) months, </w:t>
      </w:r>
    </w:p>
    <w:p w14:paraId="76D62F22" w14:textId="7EE29A52" w:rsidR="000C1A2A" w:rsidRPr="000C1A2A" w:rsidRDefault="000C1A2A" w:rsidP="000C1A2A">
      <w:pPr>
        <w:rPr>
          <w:rFonts w:ascii="Arial" w:eastAsia="Arial" w:hAnsi="Arial" w:cs="Arial"/>
          <w:sz w:val="22"/>
          <w:szCs w:val="22"/>
        </w:rPr>
      </w:pPr>
      <w:r w:rsidRPr="000C1A2A">
        <w:rPr>
          <w:rFonts w:ascii="Arial" w:eastAsia="Arial" w:hAnsi="Arial" w:cs="Arial"/>
          <w:b/>
          <w:bCs/>
          <w:sz w:val="22"/>
          <w:szCs w:val="22"/>
        </w:rPr>
        <w:t>REPORTING TO</w:t>
      </w:r>
      <w:r w:rsidRPr="000C1A2A">
        <w:rPr>
          <w:rFonts w:ascii="Arial" w:eastAsia="Arial" w:hAnsi="Arial" w:cs="Arial"/>
          <w:sz w:val="22"/>
          <w:szCs w:val="22"/>
        </w:rPr>
        <w:t xml:space="preserve"> </w:t>
      </w:r>
      <w:r>
        <w:rPr>
          <w:rFonts w:ascii="Arial" w:eastAsia="Arial" w:hAnsi="Arial" w:cs="Arial"/>
          <w:sz w:val="22"/>
          <w:szCs w:val="22"/>
        </w:rPr>
        <w:t xml:space="preserve">                </w:t>
      </w:r>
      <w:r w:rsidRPr="000C1A2A">
        <w:rPr>
          <w:rFonts w:ascii="Arial" w:eastAsia="Arial" w:hAnsi="Arial" w:cs="Arial"/>
          <w:sz w:val="22"/>
          <w:szCs w:val="22"/>
        </w:rPr>
        <w:t>: National Project Manager for Thailand, ASEAN ENMAPS</w:t>
      </w:r>
    </w:p>
    <w:p w14:paraId="78E5031E" w14:textId="77777777" w:rsidR="000C1A2A" w:rsidRDefault="000C1A2A" w:rsidP="000C1A2A">
      <w:pPr>
        <w:rPr>
          <w:rFonts w:ascii="Arial" w:eastAsia="Arial" w:hAnsi="Arial" w:cs="Arial"/>
          <w:sz w:val="22"/>
          <w:szCs w:val="22"/>
        </w:rPr>
      </w:pPr>
    </w:p>
    <w:p w14:paraId="4163E233" w14:textId="77777777" w:rsidR="000C1A2A" w:rsidRPr="000C1A2A" w:rsidRDefault="000C1A2A" w:rsidP="000C1A2A">
      <w:pPr>
        <w:rPr>
          <w:rFonts w:ascii="Arial" w:eastAsia="Arial" w:hAnsi="Arial" w:cs="Arial"/>
          <w:sz w:val="22"/>
          <w:szCs w:val="22"/>
        </w:rPr>
      </w:pPr>
    </w:p>
    <w:p w14:paraId="303A2653" w14:textId="77777777" w:rsidR="000C1A2A" w:rsidRDefault="006B315E">
      <w:pPr>
        <w:ind w:right="95"/>
        <w:jc w:val="both"/>
        <w:rPr>
          <w:rFonts w:ascii="Arial" w:eastAsia="Arial" w:hAnsi="Arial" w:cs="Arial"/>
          <w:b/>
          <w:bCs/>
          <w:sz w:val="22"/>
          <w:szCs w:val="22"/>
        </w:rPr>
      </w:pPr>
      <w:r w:rsidRPr="000C1A2A">
        <w:rPr>
          <w:rFonts w:ascii="Arial" w:eastAsia="Arial" w:hAnsi="Arial" w:cs="Arial"/>
          <w:b/>
          <w:bCs/>
          <w:sz w:val="22"/>
          <w:szCs w:val="22"/>
        </w:rPr>
        <w:t>BACKGROUND</w:t>
      </w:r>
    </w:p>
    <w:p w14:paraId="6857C5B6" w14:textId="2FE98736" w:rsidR="00A1304E" w:rsidRPr="000C1A2A" w:rsidRDefault="00A1304E">
      <w:pPr>
        <w:ind w:right="95"/>
        <w:jc w:val="both"/>
        <w:rPr>
          <w:rFonts w:ascii="Arial" w:eastAsia="Arial" w:hAnsi="Arial" w:cs="Arial"/>
          <w:b/>
          <w:bCs/>
          <w:color w:val="4472C4"/>
          <w:sz w:val="22"/>
          <w:szCs w:val="22"/>
        </w:rPr>
      </w:pPr>
    </w:p>
    <w:p w14:paraId="0A48B5FB" w14:textId="77777777" w:rsidR="00A1304E" w:rsidRDefault="006B315E">
      <w:pPr>
        <w:jc w:val="both"/>
        <w:rPr>
          <w:rFonts w:ascii="Arial" w:eastAsia="Arial" w:hAnsi="Arial" w:cs="Arial"/>
          <w:sz w:val="22"/>
          <w:szCs w:val="22"/>
        </w:rPr>
      </w:pPr>
      <w:r>
        <w:rPr>
          <w:rFonts w:ascii="Arial" w:eastAsia="Arial" w:hAnsi="Arial" w:cs="Arial"/>
          <w:sz w:val="22"/>
          <w:szCs w:val="22"/>
        </w:rPr>
        <w:t xml:space="preserve">The primary objective of this consultancy is aimed at engaging Department of National Parks, Wildlife and Plant Conservation (DNP) and the Department of Marine and Coastal Resources </w:t>
      </w:r>
      <w:r>
        <w:rPr>
          <w:rFonts w:ascii="Arial" w:eastAsia="Arial" w:hAnsi="Arial" w:cs="Arial"/>
          <w:sz w:val="22"/>
          <w:szCs w:val="22"/>
        </w:rPr>
        <w:t>(DMCR), with support from Department of Fisheries (</w:t>
      </w:r>
      <w:proofErr w:type="spellStart"/>
      <w:r>
        <w:rPr>
          <w:rFonts w:ascii="Arial" w:eastAsia="Arial" w:hAnsi="Arial" w:cs="Arial"/>
          <w:sz w:val="22"/>
          <w:szCs w:val="22"/>
        </w:rPr>
        <w:t>DoF</w:t>
      </w:r>
      <w:proofErr w:type="spellEnd"/>
      <w:r>
        <w:rPr>
          <w:rFonts w:ascii="Arial" w:eastAsia="Arial" w:hAnsi="Arial" w:cs="Arial"/>
          <w:sz w:val="22"/>
          <w:szCs w:val="22"/>
        </w:rPr>
        <w:t xml:space="preserve">), in leading the enhancement of existing MPA management plans of Ranong Biosphere Reserve, Mu Ko Surin National Park, Mu Ko Similan National Park, and </w:t>
      </w:r>
      <w:proofErr w:type="spellStart"/>
      <w:r>
        <w:rPr>
          <w:rFonts w:ascii="Arial" w:eastAsia="Arial" w:hAnsi="Arial" w:cs="Arial"/>
          <w:sz w:val="22"/>
          <w:szCs w:val="22"/>
        </w:rPr>
        <w:t>Tarutao</w:t>
      </w:r>
      <w:proofErr w:type="spellEnd"/>
      <w:r>
        <w:rPr>
          <w:rFonts w:ascii="Arial" w:eastAsia="Arial" w:hAnsi="Arial" w:cs="Arial"/>
          <w:sz w:val="22"/>
          <w:szCs w:val="22"/>
        </w:rPr>
        <w:t xml:space="preserve"> National Park, integrating sustainable fin</w:t>
      </w:r>
      <w:r>
        <w:rPr>
          <w:rFonts w:ascii="Arial" w:eastAsia="Arial" w:hAnsi="Arial" w:cs="Arial"/>
          <w:sz w:val="22"/>
          <w:szCs w:val="22"/>
        </w:rPr>
        <w:t>ancing options, and facilitating stakeholder consultations to present, validate, and adopt improved management plans. This shall include securing free, prior, and informed consent (FPIC) from ethnic groups, where necessary.</w:t>
      </w:r>
    </w:p>
    <w:p w14:paraId="227A1003" w14:textId="77777777" w:rsidR="00A1304E" w:rsidRDefault="00A1304E">
      <w:pPr>
        <w:jc w:val="both"/>
        <w:rPr>
          <w:rFonts w:ascii="Arial" w:eastAsia="Arial" w:hAnsi="Arial" w:cs="Arial"/>
          <w:sz w:val="22"/>
          <w:szCs w:val="22"/>
        </w:rPr>
      </w:pPr>
    </w:p>
    <w:p w14:paraId="3FC514E9" w14:textId="77777777" w:rsidR="00A1304E" w:rsidRDefault="006B315E">
      <w:pPr>
        <w:jc w:val="both"/>
        <w:rPr>
          <w:rFonts w:ascii="Arial" w:eastAsia="Arial" w:hAnsi="Arial" w:cs="Arial"/>
          <w:sz w:val="22"/>
          <w:szCs w:val="22"/>
        </w:rPr>
      </w:pPr>
      <w:r>
        <w:rPr>
          <w:rFonts w:ascii="Arial" w:eastAsia="Arial" w:hAnsi="Arial" w:cs="Arial"/>
          <w:sz w:val="22"/>
          <w:szCs w:val="22"/>
        </w:rPr>
        <w:t>These activities are expected t</w:t>
      </w:r>
      <w:r>
        <w:rPr>
          <w:rFonts w:ascii="Arial" w:eastAsia="Arial" w:hAnsi="Arial" w:cs="Arial"/>
          <w:sz w:val="22"/>
          <w:szCs w:val="22"/>
        </w:rPr>
        <w:t>o strengthen financial resilience of MPAs, and diversify revenue streams that can support ongoing conservation and management of MPAs and promote community engagement activities that enhance both livelihood benefits and stewardship of marine resources.</w:t>
      </w:r>
    </w:p>
    <w:p w14:paraId="06C015F9" w14:textId="77777777" w:rsidR="00A1304E" w:rsidRDefault="00A1304E">
      <w:pPr>
        <w:jc w:val="both"/>
        <w:rPr>
          <w:rFonts w:ascii="Arial" w:eastAsia="Arial" w:hAnsi="Arial" w:cs="Arial"/>
          <w:sz w:val="22"/>
          <w:szCs w:val="22"/>
        </w:rPr>
      </w:pPr>
    </w:p>
    <w:p w14:paraId="1217B771" w14:textId="77777777" w:rsidR="00A1304E" w:rsidRDefault="00A1304E">
      <w:pPr>
        <w:jc w:val="both"/>
        <w:rPr>
          <w:rFonts w:ascii="Arial" w:eastAsia="Arial" w:hAnsi="Arial" w:cs="Arial"/>
          <w:sz w:val="22"/>
          <w:szCs w:val="22"/>
        </w:rPr>
      </w:pPr>
    </w:p>
    <w:p w14:paraId="32E5368E" w14:textId="77777777" w:rsidR="00A1304E" w:rsidRDefault="006B315E">
      <w:pPr>
        <w:jc w:val="both"/>
        <w:rPr>
          <w:rFonts w:ascii="Arial" w:eastAsia="Arial" w:hAnsi="Arial" w:cs="Arial"/>
          <w:b/>
          <w:bCs/>
          <w:sz w:val="22"/>
          <w:szCs w:val="22"/>
        </w:rPr>
      </w:pPr>
      <w:r>
        <w:rPr>
          <w:rFonts w:ascii="Arial" w:eastAsia="Arial" w:hAnsi="Arial" w:cs="Arial"/>
          <w:b/>
          <w:bCs/>
          <w:sz w:val="22"/>
          <w:szCs w:val="22"/>
        </w:rPr>
        <w:t>S</w:t>
      </w:r>
      <w:r>
        <w:rPr>
          <w:rFonts w:ascii="Arial" w:eastAsia="Arial" w:hAnsi="Arial" w:cs="Arial"/>
          <w:b/>
          <w:bCs/>
          <w:sz w:val="22"/>
          <w:szCs w:val="22"/>
        </w:rPr>
        <w:t>COPE OF WORK</w:t>
      </w:r>
    </w:p>
    <w:p w14:paraId="1E6AAA86" w14:textId="77777777" w:rsidR="00A1304E" w:rsidRDefault="00A1304E">
      <w:pPr>
        <w:jc w:val="both"/>
        <w:rPr>
          <w:rFonts w:ascii="Arial" w:eastAsia="Arial" w:hAnsi="Arial" w:cs="Arial"/>
          <w:sz w:val="22"/>
          <w:szCs w:val="22"/>
        </w:rPr>
      </w:pPr>
    </w:p>
    <w:p w14:paraId="7D1C8E59" w14:textId="77777777" w:rsidR="00A1304E" w:rsidRDefault="006B315E">
      <w:pPr>
        <w:jc w:val="both"/>
        <w:rPr>
          <w:rFonts w:ascii="Arial" w:eastAsia="Arial" w:hAnsi="Arial" w:cs="Arial"/>
          <w:sz w:val="22"/>
          <w:szCs w:val="22"/>
        </w:rPr>
      </w:pPr>
      <w:r>
        <w:rPr>
          <w:rFonts w:ascii="Arial" w:eastAsia="Arial" w:hAnsi="Arial" w:cs="Arial"/>
          <w:sz w:val="22"/>
          <w:szCs w:val="22"/>
        </w:rPr>
        <w:t>The Consultancy Firm is expected to do the following:</w:t>
      </w:r>
    </w:p>
    <w:p w14:paraId="4B8DEAF6" w14:textId="77777777" w:rsidR="00A1304E" w:rsidRDefault="00A1304E">
      <w:pPr>
        <w:rPr>
          <w:rFonts w:ascii="Arial" w:eastAsia="Arial" w:hAnsi="Arial" w:cs="Arial"/>
          <w:b/>
          <w:bCs/>
          <w:sz w:val="22"/>
          <w:szCs w:val="22"/>
        </w:rPr>
      </w:pPr>
    </w:p>
    <w:p w14:paraId="1E7BB84F" w14:textId="77777777" w:rsidR="00A1304E" w:rsidRDefault="006B315E">
      <w:pPr>
        <w:numPr>
          <w:ilvl w:val="0"/>
          <w:numId w:val="2"/>
        </w:numPr>
        <w:rPr>
          <w:rFonts w:ascii="Aptos" w:eastAsia="Aptos" w:hAnsi="Aptos" w:cs="Aptos"/>
          <w:b/>
          <w:bCs/>
          <w:sz w:val="22"/>
          <w:szCs w:val="22"/>
        </w:rPr>
      </w:pPr>
      <w:r>
        <w:rPr>
          <w:rFonts w:ascii="Aptos" w:eastAsia="Aptos" w:hAnsi="Aptos" w:cs="Aptos"/>
          <w:b/>
          <w:bCs/>
          <w:sz w:val="22"/>
          <w:szCs w:val="22"/>
        </w:rPr>
        <w:t xml:space="preserve">Government-Led Engagement and Policy Alignment. </w:t>
      </w:r>
      <w:r>
        <w:rPr>
          <w:rFonts w:ascii="Aptos" w:eastAsia="Aptos" w:hAnsi="Aptos" w:cs="Aptos"/>
          <w:sz w:val="22"/>
          <w:szCs w:val="22"/>
        </w:rPr>
        <w:t xml:space="preserve">Engage DNP and DMCR, with active involvement of </w:t>
      </w:r>
      <w:proofErr w:type="spellStart"/>
      <w:r>
        <w:rPr>
          <w:rFonts w:ascii="Aptos" w:eastAsia="Aptos" w:hAnsi="Aptos" w:cs="Aptos"/>
          <w:sz w:val="22"/>
          <w:szCs w:val="22"/>
        </w:rPr>
        <w:t>DoF</w:t>
      </w:r>
      <w:proofErr w:type="spellEnd"/>
      <w:r>
        <w:rPr>
          <w:rFonts w:ascii="Aptos" w:eastAsia="Aptos" w:hAnsi="Aptos" w:cs="Aptos"/>
          <w:sz w:val="22"/>
          <w:szCs w:val="22"/>
        </w:rPr>
        <w:t xml:space="preserve">, as lead agencies in the enhancement of existing MPA management plans for the four </w:t>
      </w:r>
      <w:r>
        <w:rPr>
          <w:rFonts w:ascii="Aptos" w:eastAsia="Aptos" w:hAnsi="Aptos" w:cs="Aptos"/>
          <w:sz w:val="22"/>
          <w:szCs w:val="22"/>
        </w:rPr>
        <w:t>targeted MPAs and support inter-agency coordination to ensure consistency between enhanced management plans, fisheries management measures, marine corridor considerations, and national mandates. Proposed enhancement must address identified environmental an</w:t>
      </w:r>
      <w:r>
        <w:rPr>
          <w:rFonts w:ascii="Aptos" w:eastAsia="Aptos" w:hAnsi="Aptos" w:cs="Aptos"/>
          <w:sz w:val="22"/>
          <w:szCs w:val="22"/>
        </w:rPr>
        <w:t>d social risks and are fully aligned with UNDP Social and Environmental Standards.</w:t>
      </w:r>
    </w:p>
    <w:p w14:paraId="64243431" w14:textId="77777777" w:rsidR="00A1304E" w:rsidRDefault="00A1304E" w:rsidP="0010396C">
      <w:pPr>
        <w:rPr>
          <w:rFonts w:ascii="Aptos" w:eastAsia="Aptos" w:hAnsi="Aptos" w:cs="Aptos"/>
          <w:sz w:val="22"/>
          <w:szCs w:val="22"/>
        </w:rPr>
      </w:pPr>
    </w:p>
    <w:p w14:paraId="5BF32C91" w14:textId="77777777" w:rsidR="00A1304E" w:rsidRDefault="006B315E">
      <w:pPr>
        <w:numPr>
          <w:ilvl w:val="0"/>
          <w:numId w:val="2"/>
        </w:numPr>
        <w:rPr>
          <w:rFonts w:ascii="Arial" w:eastAsia="Arial" w:hAnsi="Arial" w:cs="Arial"/>
          <w:b/>
          <w:bCs/>
          <w:sz w:val="22"/>
          <w:szCs w:val="22"/>
        </w:rPr>
      </w:pPr>
      <w:r>
        <w:rPr>
          <w:rFonts w:ascii="Arial" w:eastAsia="Arial" w:hAnsi="Arial" w:cs="Arial"/>
          <w:b/>
          <w:bCs/>
          <w:sz w:val="22"/>
          <w:szCs w:val="22"/>
        </w:rPr>
        <w:t xml:space="preserve">Review and Analysis of Existing Financing Structures and Recommendations for Sustainable Financing. </w:t>
      </w:r>
      <w:r>
        <w:rPr>
          <w:rFonts w:ascii="Arial" w:eastAsia="Arial" w:hAnsi="Arial" w:cs="Arial"/>
          <w:sz w:val="22"/>
          <w:szCs w:val="22"/>
        </w:rPr>
        <w:t xml:space="preserve">Review and </w:t>
      </w:r>
      <w:proofErr w:type="spellStart"/>
      <w:r>
        <w:rPr>
          <w:rFonts w:ascii="Arial" w:eastAsia="Arial" w:hAnsi="Arial" w:cs="Arial"/>
          <w:sz w:val="22"/>
          <w:szCs w:val="22"/>
        </w:rPr>
        <w:t>analyse</w:t>
      </w:r>
      <w:proofErr w:type="spellEnd"/>
      <w:r>
        <w:rPr>
          <w:rFonts w:ascii="Arial" w:eastAsia="Arial" w:hAnsi="Arial" w:cs="Arial"/>
          <w:sz w:val="22"/>
          <w:szCs w:val="22"/>
        </w:rPr>
        <w:t xml:space="preserve"> existing financing mechanisms and options surrounding</w:t>
      </w:r>
      <w:r>
        <w:rPr>
          <w:rFonts w:ascii="Arial" w:eastAsia="Arial" w:hAnsi="Arial" w:cs="Arial"/>
          <w:sz w:val="22"/>
          <w:szCs w:val="22"/>
        </w:rPr>
        <w:t xml:space="preserve"> the implementation and management of MPAs. Consequently, a set of tailored recommendations for sustainable financing strategies for the target MPAs must be developed to aid local stakeholders and governing bodies in crafting appropriate strategies for eff</w:t>
      </w:r>
      <w:r>
        <w:rPr>
          <w:rFonts w:ascii="Arial" w:eastAsia="Arial" w:hAnsi="Arial" w:cs="Arial"/>
          <w:sz w:val="22"/>
          <w:szCs w:val="22"/>
        </w:rPr>
        <w:t xml:space="preserve">ective implementation. These strategies may include, but are not limited to, conservation trust funds, payment for ecosystem services (PES), eco-tourism </w:t>
      </w:r>
      <w:r>
        <w:rPr>
          <w:rFonts w:ascii="Arial" w:eastAsia="Arial" w:hAnsi="Arial" w:cs="Arial"/>
          <w:sz w:val="22"/>
          <w:szCs w:val="22"/>
        </w:rPr>
        <w:lastRenderedPageBreak/>
        <w:t>revenue enhancement, public–private partnerships, corporate social responsibility contributions, blue c</w:t>
      </w:r>
      <w:r>
        <w:rPr>
          <w:rFonts w:ascii="Arial" w:eastAsia="Arial" w:hAnsi="Arial" w:cs="Arial"/>
          <w:sz w:val="22"/>
          <w:szCs w:val="22"/>
        </w:rPr>
        <w:t>arbon and biodiversity credits, and other innovative financing mechanisms. Additionally, case studies, lessons, and best practices from other MPAs and MPA networks in the country or region (ASEAN) may be used to reinforce recommended strategies. Recommenda</w:t>
      </w:r>
      <w:r>
        <w:rPr>
          <w:rFonts w:ascii="Arial" w:eastAsia="Arial" w:hAnsi="Arial" w:cs="Arial"/>
          <w:sz w:val="22"/>
          <w:szCs w:val="22"/>
        </w:rPr>
        <w:t>tions must be guided by the results of the Strategic Environmental and Social Assessments (SESA) and aligned with UNDP Social and Environmental Standards.</w:t>
      </w:r>
    </w:p>
    <w:p w14:paraId="1B019EAE" w14:textId="77777777" w:rsidR="00A1304E" w:rsidRDefault="00A1304E">
      <w:pPr>
        <w:ind w:left="360"/>
        <w:jc w:val="both"/>
        <w:rPr>
          <w:rFonts w:ascii="Arial" w:eastAsia="Arial" w:hAnsi="Arial" w:cs="Arial"/>
          <w:sz w:val="22"/>
          <w:szCs w:val="22"/>
        </w:rPr>
      </w:pPr>
    </w:p>
    <w:p w14:paraId="2831312F" w14:textId="77777777" w:rsidR="00A1304E" w:rsidRDefault="006B315E">
      <w:pPr>
        <w:numPr>
          <w:ilvl w:val="0"/>
          <w:numId w:val="2"/>
        </w:numPr>
        <w:rPr>
          <w:rFonts w:ascii="Arial" w:eastAsia="Arial" w:hAnsi="Arial" w:cs="Arial"/>
          <w:b/>
          <w:bCs/>
          <w:sz w:val="22"/>
          <w:szCs w:val="22"/>
        </w:rPr>
      </w:pPr>
      <w:r>
        <w:rPr>
          <w:rFonts w:ascii="Arial" w:eastAsia="Arial" w:hAnsi="Arial" w:cs="Arial"/>
          <w:b/>
          <w:bCs/>
          <w:sz w:val="22"/>
          <w:szCs w:val="22"/>
        </w:rPr>
        <w:t xml:space="preserve">Consultations with, and Presentation to Stakeholders. </w:t>
      </w:r>
      <w:r>
        <w:rPr>
          <w:rFonts w:ascii="Arial" w:eastAsia="Arial" w:hAnsi="Arial" w:cs="Arial"/>
          <w:sz w:val="22"/>
          <w:szCs w:val="22"/>
        </w:rPr>
        <w:t>Through workshops and consultations, the consu</w:t>
      </w:r>
      <w:r>
        <w:rPr>
          <w:rFonts w:ascii="Arial" w:eastAsia="Arial" w:hAnsi="Arial" w:cs="Arial"/>
          <w:sz w:val="22"/>
          <w:szCs w:val="22"/>
        </w:rPr>
        <w:t>ltant shall present the improved MPA plans and sustainable financing options to key stakeholders, including government agencies, local communities, ethnic groups, and private sector actors, for validation and feedback. The consultant shall document stakeho</w:t>
      </w:r>
      <w:r>
        <w:rPr>
          <w:rFonts w:ascii="Arial" w:eastAsia="Arial" w:hAnsi="Arial" w:cs="Arial"/>
          <w:sz w:val="22"/>
          <w:szCs w:val="22"/>
        </w:rPr>
        <w:t>lder inputs and incorporate them into the development of business plans and list of other recommendations.</w:t>
      </w:r>
    </w:p>
    <w:p w14:paraId="0238A5DB" w14:textId="77777777" w:rsidR="00A1304E" w:rsidRDefault="00A1304E">
      <w:pPr>
        <w:ind w:left="360"/>
        <w:jc w:val="both"/>
        <w:rPr>
          <w:rFonts w:ascii="Arial" w:eastAsia="Arial" w:hAnsi="Arial" w:cs="Arial"/>
          <w:sz w:val="22"/>
          <w:szCs w:val="22"/>
        </w:rPr>
      </w:pPr>
    </w:p>
    <w:p w14:paraId="523F6480" w14:textId="77777777" w:rsidR="00A1304E" w:rsidRDefault="006B315E">
      <w:pPr>
        <w:numPr>
          <w:ilvl w:val="0"/>
          <w:numId w:val="2"/>
        </w:numPr>
        <w:rPr>
          <w:rFonts w:ascii="Arial" w:eastAsia="Arial" w:hAnsi="Arial" w:cs="Arial"/>
          <w:b/>
          <w:bCs/>
          <w:sz w:val="22"/>
          <w:szCs w:val="22"/>
        </w:rPr>
      </w:pPr>
      <w:r>
        <w:rPr>
          <w:rFonts w:ascii="Aptos" w:eastAsia="Aptos" w:hAnsi="Aptos" w:cs="Aptos"/>
          <w:b/>
          <w:bCs/>
          <w:sz w:val="22"/>
          <w:szCs w:val="22"/>
        </w:rPr>
        <w:t xml:space="preserve">Documentation of Adoption and FPIC Processes. </w:t>
      </w:r>
      <w:r>
        <w:rPr>
          <w:rFonts w:ascii="Aptos" w:eastAsia="Aptos" w:hAnsi="Aptos" w:cs="Aptos"/>
          <w:sz w:val="22"/>
          <w:szCs w:val="22"/>
        </w:rPr>
        <w:t>Facilitate FPIC processes with ethnic groups residing in or affected by the target MPAs, ensuring comp</w:t>
      </w:r>
      <w:r>
        <w:rPr>
          <w:rFonts w:ascii="Aptos" w:eastAsia="Aptos" w:hAnsi="Aptos" w:cs="Aptos"/>
          <w:sz w:val="22"/>
          <w:szCs w:val="22"/>
        </w:rPr>
        <w:t>liance with UNDP safeguards and national legal frameworks and document agreements, resolutions, and formal adoption process.</w:t>
      </w:r>
      <w:r>
        <w:rPr>
          <w:rFonts w:ascii="Aptos" w:eastAsia="Aptos" w:hAnsi="Aptos" w:cs="Aptos"/>
          <w:sz w:val="22"/>
          <w:szCs w:val="22"/>
        </w:rPr>
        <w:br/>
      </w:r>
    </w:p>
    <w:p w14:paraId="64FF6734" w14:textId="77777777" w:rsidR="00A1304E" w:rsidRDefault="006B315E">
      <w:pPr>
        <w:numPr>
          <w:ilvl w:val="0"/>
          <w:numId w:val="2"/>
        </w:numPr>
        <w:rPr>
          <w:rFonts w:ascii="Arial" w:eastAsia="Arial" w:hAnsi="Arial" w:cs="Arial"/>
          <w:b/>
          <w:bCs/>
          <w:sz w:val="22"/>
          <w:szCs w:val="22"/>
        </w:rPr>
      </w:pPr>
      <w:r>
        <w:rPr>
          <w:rFonts w:ascii="Arial" w:eastAsia="Arial" w:hAnsi="Arial" w:cs="Arial"/>
          <w:b/>
          <w:bCs/>
          <w:sz w:val="22"/>
          <w:szCs w:val="22"/>
        </w:rPr>
        <w:t xml:space="preserve">Business Plans. </w:t>
      </w:r>
      <w:r>
        <w:rPr>
          <w:rFonts w:ascii="Arial" w:eastAsia="Arial" w:hAnsi="Arial" w:cs="Arial"/>
          <w:sz w:val="22"/>
          <w:szCs w:val="22"/>
        </w:rPr>
        <w:t>Based on stakeholder inputs, the consultant shall develop business plan(s) outlining operational, marketing, and f</w:t>
      </w:r>
      <w:r>
        <w:rPr>
          <w:rFonts w:ascii="Arial" w:eastAsia="Arial" w:hAnsi="Arial" w:cs="Arial"/>
          <w:sz w:val="22"/>
          <w:szCs w:val="22"/>
        </w:rPr>
        <w:t xml:space="preserve">inancial strategies aligned with the recommended activities and strategies laid out in the enhanced MPA plan. The business plans should include projected revenue streams, cost structures, investment requirements, potential risks, implementation timelines, </w:t>
      </w:r>
      <w:r>
        <w:rPr>
          <w:rFonts w:ascii="Arial" w:eastAsia="Arial" w:hAnsi="Arial" w:cs="Arial"/>
          <w:sz w:val="22"/>
          <w:szCs w:val="22"/>
        </w:rPr>
        <w:t>and monitoring framework. The plan(s) should outline how financial strategies will contribute to biodiversity conservation objectives and socio-economic benefits for local communities. Feedback from stakeholders shall be collected to aid in refining the bu</w:t>
      </w:r>
      <w:r>
        <w:rPr>
          <w:rFonts w:ascii="Arial" w:eastAsia="Arial" w:hAnsi="Arial" w:cs="Arial"/>
          <w:sz w:val="22"/>
          <w:szCs w:val="22"/>
        </w:rPr>
        <w:t>siness plans.</w:t>
      </w:r>
    </w:p>
    <w:p w14:paraId="35272B87" w14:textId="77777777" w:rsidR="00A1304E" w:rsidRDefault="00A1304E">
      <w:pPr>
        <w:ind w:left="360"/>
        <w:jc w:val="both"/>
        <w:rPr>
          <w:rFonts w:ascii="Arial" w:eastAsia="Arial" w:hAnsi="Arial" w:cs="Arial"/>
          <w:b/>
          <w:bCs/>
          <w:sz w:val="22"/>
          <w:szCs w:val="22"/>
        </w:rPr>
      </w:pPr>
    </w:p>
    <w:p w14:paraId="3ABDBAA0" w14:textId="77777777" w:rsidR="00A1304E" w:rsidRDefault="006B315E">
      <w:pPr>
        <w:numPr>
          <w:ilvl w:val="0"/>
          <w:numId w:val="2"/>
        </w:numPr>
        <w:jc w:val="both"/>
        <w:rPr>
          <w:rFonts w:ascii="Arial" w:eastAsia="Arial" w:hAnsi="Arial" w:cs="Arial"/>
          <w:b/>
          <w:bCs/>
          <w:sz w:val="22"/>
          <w:szCs w:val="22"/>
        </w:rPr>
      </w:pPr>
      <w:r>
        <w:rPr>
          <w:rFonts w:ascii="Arial" w:eastAsia="Arial" w:hAnsi="Arial" w:cs="Arial"/>
          <w:b/>
          <w:bCs/>
          <w:sz w:val="22"/>
          <w:szCs w:val="22"/>
        </w:rPr>
        <w:t xml:space="preserve">Integrated Analysis and Report. </w:t>
      </w:r>
      <w:r>
        <w:rPr>
          <w:rFonts w:ascii="Arial" w:eastAsia="Arial" w:hAnsi="Arial" w:cs="Arial"/>
          <w:sz w:val="22"/>
          <w:szCs w:val="22"/>
        </w:rPr>
        <w:t xml:space="preserve">Results of the above-mentioned activities shall be consolidated in an integrated report, </w:t>
      </w:r>
      <w:proofErr w:type="spellStart"/>
      <w:r>
        <w:rPr>
          <w:rFonts w:ascii="Arial" w:eastAsia="Arial" w:hAnsi="Arial" w:cs="Arial"/>
          <w:sz w:val="22"/>
          <w:szCs w:val="22"/>
        </w:rPr>
        <w:t>summarising</w:t>
      </w:r>
      <w:proofErr w:type="spellEnd"/>
      <w:r>
        <w:rPr>
          <w:rFonts w:ascii="Arial" w:eastAsia="Arial" w:hAnsi="Arial" w:cs="Arial"/>
          <w:sz w:val="22"/>
          <w:szCs w:val="22"/>
        </w:rPr>
        <w:t xml:space="preserve"> </w:t>
      </w:r>
      <w:r>
        <w:rPr>
          <w:rFonts w:ascii="Aptos" w:eastAsia="Aptos" w:hAnsi="Aptos" w:cs="Aptos"/>
          <w:sz w:val="22"/>
          <w:szCs w:val="22"/>
        </w:rPr>
        <w:t>all technical, financial, and stakeholder consultation outputs to provide clear guidance for implementation,</w:t>
      </w:r>
      <w:r>
        <w:rPr>
          <w:rFonts w:ascii="Aptos" w:eastAsia="Aptos" w:hAnsi="Aptos" w:cs="Aptos"/>
          <w:sz w:val="22"/>
          <w:szCs w:val="22"/>
        </w:rPr>
        <w:t xml:space="preserve"> financing, monitoring, and progress reporting of enhanced MPA management plans.</w:t>
      </w:r>
    </w:p>
    <w:p w14:paraId="1BAD6B23" w14:textId="77777777" w:rsidR="00A1304E" w:rsidRDefault="00A1304E">
      <w:pPr>
        <w:jc w:val="both"/>
        <w:rPr>
          <w:rFonts w:ascii="Arial" w:eastAsia="Arial" w:hAnsi="Arial" w:cs="Arial"/>
          <w:sz w:val="22"/>
          <w:szCs w:val="22"/>
        </w:rPr>
      </w:pPr>
    </w:p>
    <w:p w14:paraId="66F3DD7A" w14:textId="77777777" w:rsidR="00A1304E" w:rsidRDefault="00A1304E">
      <w:pPr>
        <w:rPr>
          <w:rFonts w:ascii="Arial" w:eastAsia="Arial" w:hAnsi="Arial" w:cs="Arial"/>
          <w:sz w:val="22"/>
          <w:szCs w:val="22"/>
        </w:rPr>
      </w:pPr>
    </w:p>
    <w:p w14:paraId="34848144" w14:textId="77777777" w:rsidR="00A1304E" w:rsidRDefault="006B315E">
      <w:pPr>
        <w:jc w:val="both"/>
        <w:rPr>
          <w:rFonts w:ascii="Arial" w:eastAsia="Arial" w:hAnsi="Arial" w:cs="Arial"/>
          <w:b/>
          <w:bCs/>
          <w:sz w:val="22"/>
          <w:szCs w:val="22"/>
        </w:rPr>
      </w:pPr>
      <w:r>
        <w:rPr>
          <w:rFonts w:ascii="Arial" w:eastAsia="Arial" w:hAnsi="Arial" w:cs="Arial"/>
          <w:b/>
          <w:bCs/>
          <w:sz w:val="22"/>
          <w:szCs w:val="22"/>
        </w:rPr>
        <w:t>EXPECTED OUTPUTS/DELIVERABLES</w:t>
      </w:r>
    </w:p>
    <w:p w14:paraId="5A5FCF6A" w14:textId="77777777" w:rsidR="00A1304E" w:rsidRDefault="00A1304E">
      <w:pPr>
        <w:jc w:val="both"/>
        <w:rPr>
          <w:rFonts w:ascii="Arial" w:eastAsia="Arial" w:hAnsi="Arial" w:cs="Arial"/>
          <w:color w:val="4472C4"/>
          <w:sz w:val="22"/>
          <w:szCs w:val="22"/>
        </w:rPr>
      </w:pPr>
    </w:p>
    <w:p w14:paraId="28A4FAD0" w14:textId="77777777" w:rsidR="00A1304E" w:rsidRDefault="006B315E">
      <w:pPr>
        <w:jc w:val="both"/>
        <w:rPr>
          <w:rFonts w:ascii="Arial" w:eastAsia="Arial" w:hAnsi="Arial" w:cs="Arial"/>
          <w:sz w:val="22"/>
          <w:szCs w:val="22"/>
        </w:rPr>
      </w:pPr>
      <w:r>
        <w:rPr>
          <w:rFonts w:ascii="Arial" w:eastAsia="Arial" w:hAnsi="Arial" w:cs="Arial"/>
          <w:sz w:val="22"/>
          <w:szCs w:val="22"/>
        </w:rPr>
        <w:t xml:space="preserve">The National Consultant is expected to provide the following deliverables. Certain milestones, as laid out in the table below, are to be </w:t>
      </w:r>
      <w:r>
        <w:rPr>
          <w:rFonts w:ascii="Arial" w:eastAsia="Arial" w:hAnsi="Arial" w:cs="Arial"/>
          <w:sz w:val="22"/>
          <w:szCs w:val="22"/>
        </w:rPr>
        <w:t>achieved during the contract term:</w:t>
      </w:r>
    </w:p>
    <w:p w14:paraId="5C36C737" w14:textId="77777777" w:rsidR="00A1304E" w:rsidRDefault="00A1304E">
      <w:pPr>
        <w:jc w:val="both"/>
        <w:rPr>
          <w:rFonts w:ascii="Arial" w:eastAsia="Arial" w:hAnsi="Arial" w:cs="Arial"/>
          <w:sz w:val="22"/>
          <w:szCs w:val="22"/>
        </w:rPr>
      </w:pPr>
    </w:p>
    <w:tbl>
      <w:tblPr>
        <w:tblStyle w:val="ab"/>
        <w:tblW w:w="918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960"/>
        <w:gridCol w:w="1980"/>
      </w:tblGrid>
      <w:tr w:rsidR="00A1304E" w14:paraId="2A6EE316" w14:textId="77777777">
        <w:tc>
          <w:tcPr>
            <w:tcW w:w="3240" w:type="dxa"/>
          </w:tcPr>
          <w:p w14:paraId="3C857806" w14:textId="77777777" w:rsidR="00A1304E" w:rsidRDefault="006B315E">
            <w:pPr>
              <w:widowControl w:val="0"/>
              <w:jc w:val="center"/>
              <w:rPr>
                <w:rFonts w:ascii="Arial" w:eastAsia="Arial" w:hAnsi="Arial" w:cs="Arial"/>
                <w:b/>
                <w:bCs/>
                <w:sz w:val="22"/>
                <w:szCs w:val="22"/>
              </w:rPr>
            </w:pPr>
            <w:r>
              <w:rPr>
                <w:rFonts w:ascii="Arial" w:eastAsia="Arial" w:hAnsi="Arial" w:cs="Arial"/>
                <w:b/>
                <w:bCs/>
                <w:sz w:val="22"/>
                <w:szCs w:val="22"/>
              </w:rPr>
              <w:t>Deliverables</w:t>
            </w:r>
          </w:p>
        </w:tc>
        <w:tc>
          <w:tcPr>
            <w:tcW w:w="3960" w:type="dxa"/>
            <w:tcMar>
              <w:top w:w="100" w:type="dxa"/>
              <w:left w:w="100" w:type="dxa"/>
              <w:bottom w:w="100" w:type="dxa"/>
              <w:right w:w="100" w:type="dxa"/>
            </w:tcMar>
          </w:tcPr>
          <w:p w14:paraId="675A5F5C" w14:textId="77777777" w:rsidR="00A1304E" w:rsidRDefault="006B315E">
            <w:pPr>
              <w:widowControl w:val="0"/>
              <w:jc w:val="center"/>
              <w:rPr>
                <w:rFonts w:ascii="Arial" w:eastAsia="Arial" w:hAnsi="Arial" w:cs="Arial"/>
                <w:b/>
                <w:bCs/>
                <w:sz w:val="22"/>
                <w:szCs w:val="22"/>
              </w:rPr>
            </w:pPr>
            <w:r>
              <w:rPr>
                <w:rFonts w:ascii="Arial" w:eastAsia="Arial" w:hAnsi="Arial" w:cs="Arial"/>
                <w:b/>
                <w:bCs/>
                <w:sz w:val="22"/>
                <w:szCs w:val="22"/>
              </w:rPr>
              <w:t>Description</w:t>
            </w:r>
          </w:p>
        </w:tc>
        <w:tc>
          <w:tcPr>
            <w:tcW w:w="1980" w:type="dxa"/>
            <w:tcMar>
              <w:top w:w="100" w:type="dxa"/>
              <w:left w:w="100" w:type="dxa"/>
              <w:bottom w:w="100" w:type="dxa"/>
              <w:right w:w="100" w:type="dxa"/>
            </w:tcMar>
          </w:tcPr>
          <w:p w14:paraId="11093CD1" w14:textId="77777777" w:rsidR="00A1304E" w:rsidRDefault="006B315E">
            <w:pPr>
              <w:widowControl w:val="0"/>
              <w:jc w:val="center"/>
              <w:rPr>
                <w:rFonts w:ascii="Arial" w:eastAsia="Arial" w:hAnsi="Arial" w:cs="Arial"/>
                <w:b/>
                <w:bCs/>
                <w:sz w:val="22"/>
                <w:szCs w:val="22"/>
              </w:rPr>
            </w:pPr>
            <w:r>
              <w:rPr>
                <w:rFonts w:ascii="Arial" w:eastAsia="Arial" w:hAnsi="Arial" w:cs="Arial"/>
                <w:b/>
                <w:bCs/>
                <w:sz w:val="22"/>
                <w:szCs w:val="22"/>
              </w:rPr>
              <w:t>Date of Submission</w:t>
            </w:r>
          </w:p>
        </w:tc>
      </w:tr>
      <w:tr w:rsidR="00A1304E" w14:paraId="2F498D2C" w14:textId="77777777">
        <w:tc>
          <w:tcPr>
            <w:tcW w:w="3240" w:type="dxa"/>
          </w:tcPr>
          <w:p w14:paraId="7B0A8F91" w14:textId="77777777" w:rsidR="00A1304E" w:rsidRDefault="006B315E">
            <w:pPr>
              <w:widowControl w:val="0"/>
              <w:rPr>
                <w:rFonts w:ascii="Arial" w:eastAsia="Arial" w:hAnsi="Arial" w:cs="Arial"/>
                <w:b/>
                <w:bCs/>
                <w:sz w:val="22"/>
                <w:szCs w:val="22"/>
              </w:rPr>
            </w:pPr>
            <w:r>
              <w:rPr>
                <w:rFonts w:ascii="Arial" w:eastAsia="Arial" w:hAnsi="Arial" w:cs="Arial"/>
                <w:b/>
                <w:bCs/>
                <w:sz w:val="22"/>
                <w:szCs w:val="22"/>
              </w:rPr>
              <w:t>Inception Report</w:t>
            </w:r>
          </w:p>
          <w:p w14:paraId="5F329FF1" w14:textId="77777777" w:rsidR="00A1304E" w:rsidRDefault="006B315E">
            <w:pPr>
              <w:widowControl w:val="0"/>
              <w:rPr>
                <w:rFonts w:ascii="Arial" w:eastAsia="Arial" w:hAnsi="Arial" w:cs="Arial"/>
                <w:b/>
                <w:bCs/>
                <w:sz w:val="22"/>
                <w:szCs w:val="22"/>
              </w:rPr>
            </w:pPr>
            <w:r>
              <w:rPr>
                <w:rFonts w:ascii="Arial" w:eastAsia="Arial" w:hAnsi="Arial" w:cs="Arial"/>
                <w:sz w:val="22"/>
                <w:szCs w:val="22"/>
              </w:rPr>
              <w:t>Project schedule, phase and methodology</w:t>
            </w:r>
          </w:p>
        </w:tc>
        <w:tc>
          <w:tcPr>
            <w:tcW w:w="3960" w:type="dxa"/>
            <w:tcMar>
              <w:top w:w="100" w:type="dxa"/>
              <w:left w:w="100" w:type="dxa"/>
              <w:bottom w:w="100" w:type="dxa"/>
              <w:right w:w="100" w:type="dxa"/>
            </w:tcMar>
          </w:tcPr>
          <w:p w14:paraId="342EBA8A" w14:textId="77777777" w:rsidR="00A1304E" w:rsidRDefault="006B315E">
            <w:pPr>
              <w:widowControl w:val="0"/>
              <w:rPr>
                <w:rFonts w:ascii="Arial" w:eastAsia="Arial" w:hAnsi="Arial" w:cs="Arial"/>
                <w:sz w:val="22"/>
                <w:szCs w:val="22"/>
              </w:rPr>
            </w:pPr>
            <w:r>
              <w:rPr>
                <w:rFonts w:ascii="Arial" w:eastAsia="Arial" w:hAnsi="Arial" w:cs="Arial"/>
                <w:sz w:val="22"/>
                <w:szCs w:val="22"/>
              </w:rPr>
              <w:t>Approved project schedule, phase and methodology review</w:t>
            </w:r>
          </w:p>
        </w:tc>
        <w:tc>
          <w:tcPr>
            <w:tcW w:w="1980" w:type="dxa"/>
            <w:tcMar>
              <w:top w:w="100" w:type="dxa"/>
              <w:left w:w="100" w:type="dxa"/>
              <w:bottom w:w="100" w:type="dxa"/>
              <w:right w:w="100" w:type="dxa"/>
            </w:tcMar>
          </w:tcPr>
          <w:p w14:paraId="7FB71FBD" w14:textId="77777777" w:rsidR="00A1304E" w:rsidRDefault="006B315E">
            <w:pPr>
              <w:widowControl w:val="0"/>
              <w:jc w:val="center"/>
              <w:rPr>
                <w:rFonts w:ascii="Arial" w:eastAsia="Arial" w:hAnsi="Arial" w:cs="Arial"/>
                <w:sz w:val="22"/>
                <w:szCs w:val="22"/>
              </w:rPr>
            </w:pPr>
            <w:r>
              <w:rPr>
                <w:rFonts w:ascii="Arial" w:eastAsia="Arial" w:hAnsi="Arial" w:cs="Arial"/>
                <w:sz w:val="22"/>
                <w:szCs w:val="22"/>
              </w:rPr>
              <w:t xml:space="preserve">2-4 weeks after contract signing </w:t>
            </w:r>
          </w:p>
        </w:tc>
      </w:tr>
      <w:tr w:rsidR="00A1304E" w14:paraId="600D64B1" w14:textId="77777777">
        <w:tc>
          <w:tcPr>
            <w:tcW w:w="3240" w:type="dxa"/>
          </w:tcPr>
          <w:p w14:paraId="33B9A009" w14:textId="77777777" w:rsidR="00A1304E" w:rsidRDefault="006B315E">
            <w:pPr>
              <w:rPr>
                <w:rFonts w:ascii="Arial" w:eastAsia="Arial" w:hAnsi="Arial" w:cs="Arial"/>
                <w:sz w:val="22"/>
                <w:szCs w:val="22"/>
              </w:rPr>
            </w:pPr>
            <w:r>
              <w:rPr>
                <w:rFonts w:ascii="Arial" w:eastAsia="Arial" w:hAnsi="Arial" w:cs="Arial"/>
                <w:b/>
                <w:bCs/>
                <w:sz w:val="22"/>
                <w:szCs w:val="22"/>
              </w:rPr>
              <w:t xml:space="preserve">Output 1. Government </w:t>
            </w:r>
            <w:r>
              <w:rPr>
                <w:rFonts w:ascii="Arial" w:eastAsia="Arial" w:hAnsi="Arial" w:cs="Arial"/>
                <w:b/>
                <w:bCs/>
                <w:sz w:val="22"/>
                <w:szCs w:val="22"/>
              </w:rPr>
              <w:t>Engagement and Policy Alignment Initial Report</w:t>
            </w:r>
          </w:p>
        </w:tc>
        <w:tc>
          <w:tcPr>
            <w:tcW w:w="3960" w:type="dxa"/>
            <w:tcMar>
              <w:top w:w="100" w:type="dxa"/>
              <w:left w:w="100" w:type="dxa"/>
              <w:bottom w:w="100" w:type="dxa"/>
              <w:right w:w="100" w:type="dxa"/>
            </w:tcMar>
          </w:tcPr>
          <w:p w14:paraId="733D44F2" w14:textId="77777777" w:rsidR="00A1304E" w:rsidRDefault="006B315E">
            <w:pPr>
              <w:rPr>
                <w:rFonts w:ascii="Arial" w:eastAsia="Arial" w:hAnsi="Arial" w:cs="Arial"/>
                <w:sz w:val="22"/>
                <w:szCs w:val="22"/>
              </w:rPr>
            </w:pPr>
            <w:r>
              <w:rPr>
                <w:rFonts w:ascii="Aptos" w:eastAsia="Aptos" w:hAnsi="Aptos" w:cs="Aptos"/>
                <w:sz w:val="22"/>
                <w:szCs w:val="22"/>
              </w:rPr>
              <w:t xml:space="preserve">Documentation of engagement with DNP, DMCR, and </w:t>
            </w:r>
            <w:proofErr w:type="spellStart"/>
            <w:r>
              <w:rPr>
                <w:rFonts w:ascii="Aptos" w:eastAsia="Aptos" w:hAnsi="Aptos" w:cs="Aptos"/>
                <w:sz w:val="22"/>
                <w:szCs w:val="22"/>
              </w:rPr>
              <w:t>DoF</w:t>
            </w:r>
            <w:proofErr w:type="spellEnd"/>
            <w:r>
              <w:rPr>
                <w:rFonts w:ascii="Aptos" w:eastAsia="Aptos" w:hAnsi="Aptos" w:cs="Aptos"/>
                <w:sz w:val="22"/>
                <w:szCs w:val="22"/>
              </w:rPr>
              <w:t>, including agreed roles, technical directions, and how SESA findings and UNDP SES requirements were incorporated into the enhanced management plans</w:t>
            </w:r>
          </w:p>
        </w:tc>
        <w:tc>
          <w:tcPr>
            <w:tcW w:w="1980" w:type="dxa"/>
            <w:tcMar>
              <w:top w:w="100" w:type="dxa"/>
              <w:left w:w="100" w:type="dxa"/>
              <w:bottom w:w="100" w:type="dxa"/>
              <w:right w:w="100" w:type="dxa"/>
            </w:tcMar>
          </w:tcPr>
          <w:p w14:paraId="108AE34A" w14:textId="77777777" w:rsidR="00A1304E" w:rsidRDefault="00A1304E">
            <w:pPr>
              <w:widowControl w:val="0"/>
              <w:jc w:val="center"/>
              <w:rPr>
                <w:rFonts w:ascii="Arial" w:eastAsia="Arial" w:hAnsi="Arial" w:cs="Arial"/>
                <w:sz w:val="22"/>
                <w:szCs w:val="22"/>
              </w:rPr>
            </w:pPr>
          </w:p>
          <w:p w14:paraId="3B3E4C99" w14:textId="77777777" w:rsidR="00A1304E" w:rsidRDefault="006B315E">
            <w:pPr>
              <w:widowControl w:val="0"/>
              <w:jc w:val="center"/>
              <w:rPr>
                <w:rFonts w:ascii="Arial" w:eastAsia="Arial" w:hAnsi="Arial" w:cs="Arial"/>
                <w:sz w:val="22"/>
                <w:szCs w:val="22"/>
              </w:rPr>
            </w:pPr>
            <w:r>
              <w:rPr>
                <w:rFonts w:ascii="Arial" w:eastAsia="Arial" w:hAnsi="Arial" w:cs="Arial"/>
                <w:sz w:val="22"/>
                <w:szCs w:val="22"/>
              </w:rPr>
              <w:t>Month 2</w:t>
            </w:r>
          </w:p>
        </w:tc>
      </w:tr>
      <w:tr w:rsidR="00A1304E" w14:paraId="4983952E" w14:textId="77777777">
        <w:tc>
          <w:tcPr>
            <w:tcW w:w="3240" w:type="dxa"/>
          </w:tcPr>
          <w:p w14:paraId="7CDCD5B4" w14:textId="77777777" w:rsidR="00A1304E" w:rsidRDefault="006B315E">
            <w:pPr>
              <w:widowControl w:val="0"/>
              <w:rPr>
                <w:rFonts w:ascii="Arial" w:eastAsia="Arial" w:hAnsi="Arial" w:cs="Arial"/>
                <w:sz w:val="22"/>
                <w:szCs w:val="22"/>
              </w:rPr>
            </w:pPr>
            <w:r>
              <w:rPr>
                <w:rFonts w:ascii="Arial" w:eastAsia="Arial" w:hAnsi="Arial" w:cs="Arial"/>
                <w:b/>
                <w:bCs/>
                <w:sz w:val="22"/>
                <w:szCs w:val="22"/>
              </w:rPr>
              <w:lastRenderedPageBreak/>
              <w:t>Output 2. Analysis Report &amp;  Recommendations for Sustainable Financing</w:t>
            </w:r>
          </w:p>
          <w:p w14:paraId="3EFF60D0" w14:textId="77777777" w:rsidR="00A1304E" w:rsidRDefault="00A1304E">
            <w:pPr>
              <w:widowControl w:val="0"/>
              <w:rPr>
                <w:rFonts w:ascii="Arial" w:eastAsia="Arial" w:hAnsi="Arial" w:cs="Arial"/>
                <w:b/>
                <w:bCs/>
                <w:sz w:val="22"/>
                <w:szCs w:val="22"/>
              </w:rPr>
            </w:pPr>
          </w:p>
        </w:tc>
        <w:tc>
          <w:tcPr>
            <w:tcW w:w="3960" w:type="dxa"/>
            <w:tcMar>
              <w:top w:w="100" w:type="dxa"/>
              <w:left w:w="100" w:type="dxa"/>
              <w:bottom w:w="100" w:type="dxa"/>
              <w:right w:w="100" w:type="dxa"/>
            </w:tcMar>
          </w:tcPr>
          <w:p w14:paraId="6631E04E" w14:textId="77777777" w:rsidR="00A1304E" w:rsidRDefault="006B315E">
            <w:pPr>
              <w:rPr>
                <w:rFonts w:ascii="Arial" w:eastAsia="Arial" w:hAnsi="Arial" w:cs="Arial"/>
                <w:sz w:val="22"/>
                <w:szCs w:val="22"/>
              </w:rPr>
            </w:pPr>
            <w:r>
              <w:rPr>
                <w:rFonts w:ascii="Arial" w:eastAsia="Arial" w:hAnsi="Arial" w:cs="Arial"/>
                <w:sz w:val="22"/>
                <w:szCs w:val="22"/>
              </w:rPr>
              <w:t>Analysis of MPA financing structures and a list of financing options and recommendations, supported by case studies and lessons learned from other MPAs in Thailand, or case studies si</w:t>
            </w:r>
            <w:r>
              <w:rPr>
                <w:rFonts w:ascii="Arial" w:eastAsia="Arial" w:hAnsi="Arial" w:cs="Arial"/>
                <w:sz w:val="22"/>
                <w:szCs w:val="22"/>
              </w:rPr>
              <w:t>milar to the context of Thailand</w:t>
            </w:r>
          </w:p>
        </w:tc>
        <w:tc>
          <w:tcPr>
            <w:tcW w:w="1980" w:type="dxa"/>
            <w:tcMar>
              <w:top w:w="100" w:type="dxa"/>
              <w:left w:w="100" w:type="dxa"/>
              <w:bottom w:w="100" w:type="dxa"/>
              <w:right w:w="100" w:type="dxa"/>
            </w:tcMar>
          </w:tcPr>
          <w:p w14:paraId="2276FAE3" w14:textId="77777777" w:rsidR="00A1304E" w:rsidRDefault="006B315E">
            <w:pPr>
              <w:widowControl w:val="0"/>
              <w:jc w:val="center"/>
              <w:rPr>
                <w:rFonts w:ascii="Arial" w:eastAsia="Arial" w:hAnsi="Arial" w:cs="Arial"/>
                <w:sz w:val="22"/>
                <w:szCs w:val="22"/>
              </w:rPr>
            </w:pPr>
            <w:r>
              <w:rPr>
                <w:rFonts w:ascii="Arial" w:eastAsia="Arial" w:hAnsi="Arial" w:cs="Arial"/>
                <w:sz w:val="22"/>
                <w:szCs w:val="22"/>
              </w:rPr>
              <w:t>Month 3</w:t>
            </w:r>
          </w:p>
        </w:tc>
      </w:tr>
      <w:tr w:rsidR="00A1304E" w14:paraId="421614CD" w14:textId="77777777">
        <w:tc>
          <w:tcPr>
            <w:tcW w:w="3240" w:type="dxa"/>
          </w:tcPr>
          <w:p w14:paraId="57FEE0D3" w14:textId="77777777" w:rsidR="00A1304E" w:rsidRDefault="006B315E">
            <w:pPr>
              <w:widowControl w:val="0"/>
              <w:rPr>
                <w:rFonts w:ascii="Arial" w:eastAsia="Arial" w:hAnsi="Arial" w:cs="Arial"/>
                <w:b/>
                <w:bCs/>
                <w:sz w:val="22"/>
                <w:szCs w:val="22"/>
              </w:rPr>
            </w:pPr>
            <w:r>
              <w:rPr>
                <w:rFonts w:ascii="Arial" w:eastAsia="Arial" w:hAnsi="Arial" w:cs="Arial"/>
                <w:b/>
                <w:bCs/>
                <w:sz w:val="22"/>
                <w:szCs w:val="22"/>
              </w:rPr>
              <w:t>Output 3. Workshop and Consultation Report</w:t>
            </w:r>
          </w:p>
        </w:tc>
        <w:tc>
          <w:tcPr>
            <w:tcW w:w="3960" w:type="dxa"/>
            <w:tcMar>
              <w:top w:w="100" w:type="dxa"/>
              <w:left w:w="100" w:type="dxa"/>
              <w:bottom w:w="100" w:type="dxa"/>
              <w:right w:w="100" w:type="dxa"/>
            </w:tcMar>
          </w:tcPr>
          <w:p w14:paraId="6803D3B2" w14:textId="77777777" w:rsidR="00A1304E" w:rsidRDefault="006B315E">
            <w:pPr>
              <w:rPr>
                <w:rFonts w:ascii="Arial" w:eastAsia="Arial" w:hAnsi="Arial" w:cs="Arial"/>
                <w:sz w:val="22"/>
                <w:szCs w:val="22"/>
              </w:rPr>
            </w:pPr>
            <w:r>
              <w:rPr>
                <w:rFonts w:ascii="Aptos" w:eastAsia="Aptos" w:hAnsi="Aptos" w:cs="Aptos"/>
                <w:sz w:val="22"/>
                <w:szCs w:val="22"/>
              </w:rPr>
              <w:t>Report of consultations and validation workshops, including documentation of FPIC processes and key agreements and recommendations</w:t>
            </w:r>
          </w:p>
        </w:tc>
        <w:tc>
          <w:tcPr>
            <w:tcW w:w="1980" w:type="dxa"/>
            <w:tcMar>
              <w:top w:w="100" w:type="dxa"/>
              <w:left w:w="100" w:type="dxa"/>
              <w:bottom w:w="100" w:type="dxa"/>
              <w:right w:w="100" w:type="dxa"/>
            </w:tcMar>
          </w:tcPr>
          <w:p w14:paraId="75DD33B8" w14:textId="77777777" w:rsidR="00A1304E" w:rsidRDefault="006B315E">
            <w:pPr>
              <w:widowControl w:val="0"/>
              <w:jc w:val="center"/>
              <w:rPr>
                <w:rFonts w:ascii="Arial" w:eastAsia="Arial" w:hAnsi="Arial" w:cs="Arial"/>
                <w:sz w:val="22"/>
                <w:szCs w:val="22"/>
              </w:rPr>
            </w:pPr>
            <w:r>
              <w:rPr>
                <w:rFonts w:ascii="Arial" w:eastAsia="Arial" w:hAnsi="Arial" w:cs="Arial"/>
                <w:sz w:val="22"/>
                <w:szCs w:val="22"/>
              </w:rPr>
              <w:t>Month 5</w:t>
            </w:r>
          </w:p>
        </w:tc>
      </w:tr>
      <w:tr w:rsidR="00A1304E" w14:paraId="13ABD2DF" w14:textId="77777777">
        <w:tc>
          <w:tcPr>
            <w:tcW w:w="3240" w:type="dxa"/>
          </w:tcPr>
          <w:p w14:paraId="6428D928" w14:textId="77777777" w:rsidR="00A1304E" w:rsidRDefault="006B315E">
            <w:pPr>
              <w:widowControl w:val="0"/>
              <w:rPr>
                <w:rFonts w:ascii="Arial" w:eastAsia="Arial" w:hAnsi="Arial" w:cs="Arial"/>
                <w:sz w:val="22"/>
                <w:szCs w:val="22"/>
              </w:rPr>
            </w:pPr>
            <w:r>
              <w:rPr>
                <w:rFonts w:ascii="Arial" w:eastAsia="Arial" w:hAnsi="Arial" w:cs="Arial"/>
                <w:b/>
                <w:bCs/>
                <w:sz w:val="22"/>
                <w:szCs w:val="22"/>
              </w:rPr>
              <w:t>Output 4. Draft Business Plans</w:t>
            </w:r>
          </w:p>
        </w:tc>
        <w:tc>
          <w:tcPr>
            <w:tcW w:w="3960" w:type="dxa"/>
            <w:tcMar>
              <w:top w:w="100" w:type="dxa"/>
              <w:left w:w="100" w:type="dxa"/>
              <w:bottom w:w="100" w:type="dxa"/>
              <w:right w:w="100" w:type="dxa"/>
            </w:tcMar>
          </w:tcPr>
          <w:p w14:paraId="0E1FC7D3" w14:textId="77777777" w:rsidR="00A1304E" w:rsidRDefault="006B315E">
            <w:pPr>
              <w:jc w:val="both"/>
              <w:rPr>
                <w:rFonts w:ascii="Arial" w:eastAsia="Arial" w:hAnsi="Arial" w:cs="Arial"/>
                <w:sz w:val="22"/>
                <w:szCs w:val="22"/>
              </w:rPr>
            </w:pPr>
            <w:r>
              <w:rPr>
                <w:rFonts w:ascii="Arial" w:eastAsia="Arial" w:hAnsi="Arial" w:cs="Arial"/>
                <w:sz w:val="22"/>
                <w:szCs w:val="22"/>
              </w:rPr>
              <w:t xml:space="preserve">Consolidated and/or clustered business plans for Ranong Biosphere Reserve, Mu Ko Surin National Park, Mu Ko Similan National Park, and </w:t>
            </w:r>
            <w:proofErr w:type="spellStart"/>
            <w:r>
              <w:rPr>
                <w:rFonts w:ascii="Arial" w:eastAsia="Arial" w:hAnsi="Arial" w:cs="Arial"/>
                <w:sz w:val="22"/>
                <w:szCs w:val="22"/>
              </w:rPr>
              <w:t>Tarutao</w:t>
            </w:r>
            <w:proofErr w:type="spellEnd"/>
            <w:r>
              <w:rPr>
                <w:rFonts w:ascii="Arial" w:eastAsia="Arial" w:hAnsi="Arial" w:cs="Arial"/>
                <w:sz w:val="22"/>
                <w:szCs w:val="22"/>
              </w:rPr>
              <w:t xml:space="preserve"> National Park, as well as the </w:t>
            </w:r>
            <w:r>
              <w:rPr>
                <w:rFonts w:ascii="Arial" w:eastAsia="Arial" w:hAnsi="Arial" w:cs="Arial"/>
                <w:sz w:val="22"/>
                <w:szCs w:val="22"/>
                <w:highlight w:val="white"/>
              </w:rPr>
              <w:t>proposed Locally Managed Marine Area (LMMA)</w:t>
            </w:r>
            <w:r>
              <w:rPr>
                <w:rFonts w:ascii="Arial" w:eastAsia="Arial" w:hAnsi="Arial" w:cs="Arial"/>
                <w:sz w:val="22"/>
                <w:szCs w:val="22"/>
              </w:rPr>
              <w:t>, and stakeholder feedback</w:t>
            </w:r>
          </w:p>
        </w:tc>
        <w:tc>
          <w:tcPr>
            <w:tcW w:w="1980" w:type="dxa"/>
            <w:tcMar>
              <w:top w:w="100" w:type="dxa"/>
              <w:left w:w="100" w:type="dxa"/>
              <w:bottom w:w="100" w:type="dxa"/>
              <w:right w:w="100" w:type="dxa"/>
            </w:tcMar>
          </w:tcPr>
          <w:p w14:paraId="74419987" w14:textId="77777777" w:rsidR="00A1304E" w:rsidRDefault="006B315E">
            <w:pPr>
              <w:widowControl w:val="0"/>
              <w:jc w:val="center"/>
              <w:rPr>
                <w:rFonts w:ascii="Arial" w:eastAsia="Arial" w:hAnsi="Arial" w:cs="Arial"/>
                <w:sz w:val="22"/>
                <w:szCs w:val="22"/>
              </w:rPr>
            </w:pPr>
            <w:r>
              <w:rPr>
                <w:rFonts w:ascii="Arial" w:eastAsia="Arial" w:hAnsi="Arial" w:cs="Arial"/>
                <w:sz w:val="22"/>
                <w:szCs w:val="22"/>
              </w:rPr>
              <w:t>Month 7</w:t>
            </w:r>
          </w:p>
        </w:tc>
      </w:tr>
      <w:tr w:rsidR="00A1304E" w14:paraId="4E58BD74" w14:textId="77777777">
        <w:tc>
          <w:tcPr>
            <w:tcW w:w="3240" w:type="dxa"/>
          </w:tcPr>
          <w:p w14:paraId="41C56E2F" w14:textId="77777777" w:rsidR="00A1304E" w:rsidRDefault="006B315E">
            <w:pPr>
              <w:widowControl w:val="0"/>
              <w:rPr>
                <w:rFonts w:ascii="Arial" w:eastAsia="Arial" w:hAnsi="Arial" w:cs="Arial"/>
                <w:b/>
                <w:bCs/>
                <w:sz w:val="22"/>
                <w:szCs w:val="22"/>
              </w:rPr>
            </w:pPr>
            <w:r>
              <w:rPr>
                <w:rFonts w:ascii="Arial" w:eastAsia="Arial" w:hAnsi="Arial" w:cs="Arial"/>
                <w:b/>
                <w:bCs/>
                <w:sz w:val="22"/>
                <w:szCs w:val="22"/>
              </w:rPr>
              <w:t>Outp</w:t>
            </w:r>
            <w:r>
              <w:rPr>
                <w:rFonts w:ascii="Arial" w:eastAsia="Arial" w:hAnsi="Arial" w:cs="Arial"/>
                <w:b/>
                <w:bCs/>
                <w:sz w:val="22"/>
                <w:szCs w:val="22"/>
              </w:rPr>
              <w:t>ut 5. Final Integrated Report</w:t>
            </w:r>
          </w:p>
        </w:tc>
        <w:tc>
          <w:tcPr>
            <w:tcW w:w="3960" w:type="dxa"/>
            <w:tcMar>
              <w:top w:w="100" w:type="dxa"/>
              <w:left w:w="100" w:type="dxa"/>
              <w:bottom w:w="100" w:type="dxa"/>
              <w:right w:w="100" w:type="dxa"/>
            </w:tcMar>
          </w:tcPr>
          <w:p w14:paraId="4E20CB41" w14:textId="77777777" w:rsidR="00A1304E" w:rsidRDefault="006B315E">
            <w:pPr>
              <w:rPr>
                <w:rFonts w:ascii="Arial" w:eastAsia="Arial" w:hAnsi="Arial" w:cs="Arial"/>
                <w:sz w:val="22"/>
                <w:szCs w:val="22"/>
              </w:rPr>
            </w:pPr>
            <w:r>
              <w:rPr>
                <w:rFonts w:ascii="Arial" w:eastAsia="Arial" w:hAnsi="Arial" w:cs="Arial"/>
                <w:sz w:val="22"/>
                <w:szCs w:val="22"/>
              </w:rPr>
              <w:t xml:space="preserve">Integrated report consolidating results of the above-mentioned activities including </w:t>
            </w:r>
            <w:r>
              <w:rPr>
                <w:rFonts w:ascii="Aptos" w:eastAsia="Aptos" w:hAnsi="Aptos" w:cs="Aptos"/>
                <w:sz w:val="22"/>
                <w:szCs w:val="22"/>
              </w:rPr>
              <w:t xml:space="preserve">financing strategies, consultation outcomes, adoption status, and implementation guidance </w:t>
            </w:r>
            <w:r>
              <w:rPr>
                <w:rFonts w:ascii="Arial" w:eastAsia="Arial" w:hAnsi="Arial" w:cs="Arial"/>
                <w:sz w:val="22"/>
                <w:szCs w:val="22"/>
              </w:rPr>
              <w:t xml:space="preserve"> </w:t>
            </w:r>
          </w:p>
        </w:tc>
        <w:tc>
          <w:tcPr>
            <w:tcW w:w="1980" w:type="dxa"/>
            <w:tcMar>
              <w:top w:w="100" w:type="dxa"/>
              <w:left w:w="100" w:type="dxa"/>
              <w:bottom w:w="100" w:type="dxa"/>
              <w:right w:w="100" w:type="dxa"/>
            </w:tcMar>
          </w:tcPr>
          <w:p w14:paraId="5B224FB5" w14:textId="77777777" w:rsidR="00A1304E" w:rsidRDefault="006B315E">
            <w:pPr>
              <w:widowControl w:val="0"/>
              <w:jc w:val="center"/>
              <w:rPr>
                <w:rFonts w:ascii="Arial" w:eastAsia="Arial" w:hAnsi="Arial" w:cs="Arial"/>
                <w:sz w:val="22"/>
                <w:szCs w:val="22"/>
              </w:rPr>
            </w:pPr>
            <w:r>
              <w:rPr>
                <w:rFonts w:ascii="Arial" w:eastAsia="Arial" w:hAnsi="Arial" w:cs="Arial"/>
                <w:sz w:val="22"/>
                <w:szCs w:val="22"/>
              </w:rPr>
              <w:t>Month 9-10</w:t>
            </w:r>
          </w:p>
        </w:tc>
      </w:tr>
    </w:tbl>
    <w:p w14:paraId="3D68D7CB" w14:textId="77777777" w:rsidR="00A1304E" w:rsidRDefault="00A1304E">
      <w:pPr>
        <w:jc w:val="both"/>
        <w:rPr>
          <w:rFonts w:ascii="Arial" w:eastAsia="Arial" w:hAnsi="Arial" w:cs="Arial"/>
          <w:b/>
          <w:bCs/>
          <w:sz w:val="22"/>
          <w:szCs w:val="22"/>
        </w:rPr>
      </w:pPr>
    </w:p>
    <w:p w14:paraId="6C19D830" w14:textId="6A6D4F43" w:rsidR="00A1304E" w:rsidRDefault="006B315E">
      <w:pPr>
        <w:jc w:val="both"/>
        <w:rPr>
          <w:rFonts w:ascii="Arial" w:eastAsia="Arial" w:hAnsi="Arial" w:cs="Arial"/>
          <w:b/>
          <w:bCs/>
          <w:sz w:val="22"/>
          <w:szCs w:val="22"/>
        </w:rPr>
      </w:pPr>
      <w:r>
        <w:rPr>
          <w:rFonts w:ascii="Arial" w:eastAsia="Arial" w:hAnsi="Arial" w:cs="Arial"/>
          <w:b/>
          <w:bCs/>
          <w:sz w:val="22"/>
          <w:szCs w:val="22"/>
        </w:rPr>
        <w:t>SCHEDULE OF PAYMENT</w:t>
      </w:r>
    </w:p>
    <w:p w14:paraId="3687A8E4" w14:textId="77777777" w:rsidR="00A1304E" w:rsidRDefault="00A1304E">
      <w:pPr>
        <w:tabs>
          <w:tab w:val="left" w:pos="1080"/>
        </w:tabs>
        <w:jc w:val="both"/>
        <w:rPr>
          <w:rFonts w:ascii="Arial" w:eastAsia="Arial" w:hAnsi="Arial" w:cs="Arial"/>
          <w:sz w:val="22"/>
          <w:szCs w:val="22"/>
        </w:rPr>
      </w:pPr>
    </w:p>
    <w:p w14:paraId="5DF18782" w14:textId="77777777" w:rsidR="00A1304E" w:rsidRDefault="00A1304E">
      <w:pPr>
        <w:rPr>
          <w:rFonts w:ascii="Arial" w:eastAsia="Arial" w:hAnsi="Arial" w:cs="Arial"/>
          <w:sz w:val="22"/>
          <w:szCs w:val="22"/>
        </w:rPr>
      </w:pPr>
    </w:p>
    <w:tbl>
      <w:tblPr>
        <w:tblStyle w:val="ac"/>
        <w:tblW w:w="903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45"/>
        <w:gridCol w:w="1894"/>
        <w:gridCol w:w="1748"/>
        <w:gridCol w:w="1748"/>
      </w:tblGrid>
      <w:tr w:rsidR="00A1304E" w14:paraId="1D63E5D4" w14:textId="77777777">
        <w:tc>
          <w:tcPr>
            <w:tcW w:w="3643" w:type="dxa"/>
            <w:tcMar>
              <w:top w:w="100" w:type="dxa"/>
              <w:left w:w="100" w:type="dxa"/>
              <w:bottom w:w="100" w:type="dxa"/>
              <w:right w:w="100" w:type="dxa"/>
            </w:tcMar>
          </w:tcPr>
          <w:p w14:paraId="15E872CD" w14:textId="77777777" w:rsidR="00A1304E" w:rsidRDefault="006B315E">
            <w:pPr>
              <w:widowControl w:val="0"/>
              <w:jc w:val="center"/>
              <w:rPr>
                <w:rFonts w:ascii="Arial" w:eastAsia="Arial" w:hAnsi="Arial" w:cs="Arial"/>
                <w:b/>
                <w:bCs/>
                <w:sz w:val="22"/>
                <w:szCs w:val="22"/>
              </w:rPr>
            </w:pPr>
            <w:r>
              <w:rPr>
                <w:rFonts w:ascii="Arial" w:eastAsia="Arial" w:hAnsi="Arial" w:cs="Arial"/>
                <w:b/>
                <w:bCs/>
                <w:sz w:val="22"/>
                <w:szCs w:val="22"/>
              </w:rPr>
              <w:t>Deliverables</w:t>
            </w:r>
          </w:p>
        </w:tc>
        <w:tc>
          <w:tcPr>
            <w:tcW w:w="1894" w:type="dxa"/>
            <w:tcMar>
              <w:top w:w="100" w:type="dxa"/>
              <w:left w:w="100" w:type="dxa"/>
              <w:bottom w:w="100" w:type="dxa"/>
              <w:right w:w="100" w:type="dxa"/>
            </w:tcMar>
          </w:tcPr>
          <w:p w14:paraId="1188DD85" w14:textId="77777777" w:rsidR="00A1304E" w:rsidRDefault="006B315E">
            <w:pPr>
              <w:widowControl w:val="0"/>
              <w:jc w:val="center"/>
              <w:rPr>
                <w:rFonts w:ascii="Arial" w:eastAsia="Arial" w:hAnsi="Arial" w:cs="Arial"/>
                <w:b/>
                <w:bCs/>
                <w:sz w:val="22"/>
                <w:szCs w:val="22"/>
              </w:rPr>
            </w:pPr>
            <w:r>
              <w:rPr>
                <w:rFonts w:ascii="Arial" w:eastAsia="Arial" w:hAnsi="Arial" w:cs="Arial"/>
                <w:b/>
                <w:bCs/>
                <w:sz w:val="22"/>
                <w:szCs w:val="22"/>
              </w:rPr>
              <w:t>Date of Submission</w:t>
            </w:r>
          </w:p>
        </w:tc>
        <w:tc>
          <w:tcPr>
            <w:tcW w:w="1748" w:type="dxa"/>
            <w:tcMar>
              <w:top w:w="100" w:type="dxa"/>
              <w:left w:w="100" w:type="dxa"/>
              <w:bottom w:w="100" w:type="dxa"/>
              <w:right w:w="100" w:type="dxa"/>
            </w:tcMar>
          </w:tcPr>
          <w:p w14:paraId="4AA6EFE3" w14:textId="77777777" w:rsidR="00A1304E" w:rsidRDefault="006B315E">
            <w:pPr>
              <w:widowControl w:val="0"/>
              <w:jc w:val="center"/>
              <w:rPr>
                <w:rFonts w:ascii="Arial" w:eastAsia="Arial" w:hAnsi="Arial" w:cs="Arial"/>
                <w:b/>
                <w:bCs/>
                <w:sz w:val="22"/>
                <w:szCs w:val="22"/>
              </w:rPr>
            </w:pPr>
            <w:r>
              <w:rPr>
                <w:rFonts w:ascii="Arial" w:eastAsia="Arial" w:hAnsi="Arial" w:cs="Arial"/>
                <w:b/>
                <w:bCs/>
                <w:sz w:val="22"/>
                <w:szCs w:val="22"/>
              </w:rPr>
              <w:t>Percent of Payment</w:t>
            </w:r>
          </w:p>
        </w:tc>
        <w:tc>
          <w:tcPr>
            <w:tcW w:w="1748" w:type="dxa"/>
            <w:tcMar>
              <w:top w:w="100" w:type="dxa"/>
              <w:left w:w="100" w:type="dxa"/>
              <w:bottom w:w="100" w:type="dxa"/>
              <w:right w:w="100" w:type="dxa"/>
            </w:tcMar>
          </w:tcPr>
          <w:p w14:paraId="014DB6A1" w14:textId="77777777" w:rsidR="00A1304E" w:rsidRDefault="006B315E">
            <w:pPr>
              <w:widowControl w:val="0"/>
              <w:jc w:val="center"/>
              <w:rPr>
                <w:rFonts w:ascii="Arial" w:eastAsia="Arial" w:hAnsi="Arial" w:cs="Arial"/>
                <w:b/>
                <w:bCs/>
                <w:sz w:val="22"/>
                <w:szCs w:val="22"/>
              </w:rPr>
            </w:pPr>
            <w:r>
              <w:rPr>
                <w:rFonts w:ascii="Arial" w:eastAsia="Arial" w:hAnsi="Arial" w:cs="Arial"/>
                <w:b/>
                <w:bCs/>
                <w:sz w:val="22"/>
                <w:szCs w:val="22"/>
              </w:rPr>
              <w:t>Amount (USD)</w:t>
            </w:r>
          </w:p>
        </w:tc>
      </w:tr>
      <w:tr w:rsidR="00A1304E" w14:paraId="27B36E49" w14:textId="77777777">
        <w:tc>
          <w:tcPr>
            <w:tcW w:w="3643" w:type="dxa"/>
            <w:tcMar>
              <w:top w:w="100" w:type="dxa"/>
              <w:left w:w="100" w:type="dxa"/>
              <w:bottom w:w="100" w:type="dxa"/>
              <w:right w:w="100" w:type="dxa"/>
            </w:tcMar>
          </w:tcPr>
          <w:p w14:paraId="1C74B75B" w14:textId="77777777" w:rsidR="00A1304E" w:rsidRDefault="006B315E">
            <w:pPr>
              <w:widowControl w:val="0"/>
              <w:rPr>
                <w:rFonts w:ascii="Arial" w:eastAsia="Arial" w:hAnsi="Arial" w:cs="Arial"/>
                <w:b/>
                <w:bCs/>
                <w:sz w:val="22"/>
                <w:szCs w:val="22"/>
              </w:rPr>
            </w:pPr>
            <w:r>
              <w:rPr>
                <w:rFonts w:ascii="Arial" w:eastAsia="Arial" w:hAnsi="Arial" w:cs="Arial"/>
                <w:b/>
                <w:bCs/>
                <w:sz w:val="22"/>
                <w:szCs w:val="22"/>
              </w:rPr>
              <w:t>Inception Report</w:t>
            </w:r>
          </w:p>
          <w:p w14:paraId="44AAEC06" w14:textId="77777777" w:rsidR="00A1304E" w:rsidRDefault="00A1304E">
            <w:pPr>
              <w:widowControl w:val="0"/>
              <w:rPr>
                <w:rFonts w:ascii="Arial" w:eastAsia="Arial" w:hAnsi="Arial" w:cs="Arial"/>
                <w:sz w:val="22"/>
                <w:szCs w:val="22"/>
              </w:rPr>
            </w:pPr>
          </w:p>
        </w:tc>
        <w:tc>
          <w:tcPr>
            <w:tcW w:w="1894" w:type="dxa"/>
            <w:tcMar>
              <w:top w:w="100" w:type="dxa"/>
              <w:left w:w="100" w:type="dxa"/>
              <w:bottom w:w="100" w:type="dxa"/>
              <w:right w:w="100" w:type="dxa"/>
            </w:tcMar>
          </w:tcPr>
          <w:p w14:paraId="6C2D68B9" w14:textId="77777777" w:rsidR="00A1304E" w:rsidRDefault="006B315E">
            <w:pPr>
              <w:widowControl w:val="0"/>
              <w:jc w:val="center"/>
              <w:rPr>
                <w:rFonts w:ascii="Arial" w:eastAsia="Arial" w:hAnsi="Arial" w:cs="Arial"/>
                <w:sz w:val="22"/>
                <w:szCs w:val="22"/>
              </w:rPr>
            </w:pPr>
            <w:r>
              <w:rPr>
                <w:rFonts w:ascii="Arial" w:eastAsia="Arial" w:hAnsi="Arial" w:cs="Arial"/>
                <w:sz w:val="22"/>
                <w:szCs w:val="22"/>
              </w:rPr>
              <w:t xml:space="preserve">2-4 weeks after contract signing </w:t>
            </w:r>
          </w:p>
        </w:tc>
        <w:tc>
          <w:tcPr>
            <w:tcW w:w="1748" w:type="dxa"/>
            <w:tcMar>
              <w:top w:w="100" w:type="dxa"/>
              <w:left w:w="100" w:type="dxa"/>
              <w:bottom w:w="100" w:type="dxa"/>
              <w:right w:w="100" w:type="dxa"/>
            </w:tcMar>
          </w:tcPr>
          <w:p w14:paraId="25176EC1" w14:textId="77777777" w:rsidR="00A1304E" w:rsidRDefault="006B315E">
            <w:pPr>
              <w:widowControl w:val="0"/>
              <w:jc w:val="center"/>
              <w:rPr>
                <w:rFonts w:ascii="Arial" w:eastAsia="Arial" w:hAnsi="Arial" w:cs="Arial"/>
                <w:sz w:val="22"/>
                <w:szCs w:val="22"/>
              </w:rPr>
            </w:pPr>
            <w:r>
              <w:rPr>
                <w:rFonts w:ascii="Arial" w:eastAsia="Arial" w:hAnsi="Arial" w:cs="Arial"/>
                <w:sz w:val="22"/>
                <w:szCs w:val="22"/>
              </w:rPr>
              <w:t>15%</w:t>
            </w:r>
          </w:p>
        </w:tc>
        <w:tc>
          <w:tcPr>
            <w:tcW w:w="1748" w:type="dxa"/>
            <w:tcMar>
              <w:top w:w="100" w:type="dxa"/>
              <w:left w:w="100" w:type="dxa"/>
              <w:bottom w:w="100" w:type="dxa"/>
              <w:right w:w="100" w:type="dxa"/>
            </w:tcMar>
          </w:tcPr>
          <w:p w14:paraId="0F00AB2C" w14:textId="523744A8" w:rsidR="00A1304E" w:rsidRDefault="00A1304E">
            <w:pPr>
              <w:widowControl w:val="0"/>
              <w:jc w:val="center"/>
              <w:rPr>
                <w:rFonts w:ascii="Arial" w:eastAsia="Arial" w:hAnsi="Arial" w:cs="Arial"/>
                <w:sz w:val="22"/>
                <w:szCs w:val="22"/>
              </w:rPr>
            </w:pPr>
          </w:p>
        </w:tc>
      </w:tr>
      <w:tr w:rsidR="00A1304E" w14:paraId="1F37807A" w14:textId="77777777">
        <w:trPr>
          <w:trHeight w:val="219"/>
        </w:trPr>
        <w:tc>
          <w:tcPr>
            <w:tcW w:w="3643" w:type="dxa"/>
            <w:tcMar>
              <w:top w:w="100" w:type="dxa"/>
              <w:left w:w="100" w:type="dxa"/>
              <w:bottom w:w="100" w:type="dxa"/>
              <w:right w:w="100" w:type="dxa"/>
            </w:tcMar>
          </w:tcPr>
          <w:p w14:paraId="299A9BF2" w14:textId="77777777" w:rsidR="00A1304E" w:rsidRDefault="006B315E">
            <w:pPr>
              <w:rPr>
                <w:rFonts w:ascii="Arial" w:eastAsia="Arial" w:hAnsi="Arial" w:cs="Arial"/>
                <w:b/>
                <w:bCs/>
                <w:sz w:val="22"/>
                <w:szCs w:val="22"/>
              </w:rPr>
            </w:pPr>
            <w:r>
              <w:rPr>
                <w:rFonts w:ascii="Arial" w:eastAsia="Arial" w:hAnsi="Arial" w:cs="Arial"/>
                <w:b/>
                <w:bCs/>
                <w:sz w:val="22"/>
                <w:szCs w:val="22"/>
              </w:rPr>
              <w:t>Government Engagement and Policy Alignment initial report</w:t>
            </w:r>
          </w:p>
        </w:tc>
        <w:tc>
          <w:tcPr>
            <w:tcW w:w="1894" w:type="dxa"/>
            <w:tcMar>
              <w:top w:w="100" w:type="dxa"/>
              <w:left w:w="100" w:type="dxa"/>
              <w:bottom w:w="100" w:type="dxa"/>
              <w:right w:w="100" w:type="dxa"/>
            </w:tcMar>
          </w:tcPr>
          <w:p w14:paraId="2B5D59F3" w14:textId="77777777" w:rsidR="00A1304E" w:rsidRDefault="006B315E">
            <w:pPr>
              <w:widowControl w:val="0"/>
              <w:jc w:val="center"/>
              <w:rPr>
                <w:rFonts w:ascii="Arial" w:eastAsia="Arial" w:hAnsi="Arial" w:cs="Arial"/>
                <w:sz w:val="22"/>
                <w:szCs w:val="22"/>
              </w:rPr>
            </w:pPr>
            <w:r>
              <w:rPr>
                <w:rFonts w:ascii="Arial" w:eastAsia="Arial" w:hAnsi="Arial" w:cs="Arial"/>
                <w:sz w:val="22"/>
                <w:szCs w:val="22"/>
              </w:rPr>
              <w:t>Month 2</w:t>
            </w:r>
          </w:p>
        </w:tc>
        <w:tc>
          <w:tcPr>
            <w:tcW w:w="1748" w:type="dxa"/>
            <w:tcMar>
              <w:top w:w="100" w:type="dxa"/>
              <w:left w:w="100" w:type="dxa"/>
              <w:bottom w:w="100" w:type="dxa"/>
              <w:right w:w="100" w:type="dxa"/>
            </w:tcMar>
          </w:tcPr>
          <w:p w14:paraId="37507A3F" w14:textId="77777777" w:rsidR="00A1304E" w:rsidRDefault="006B315E">
            <w:pPr>
              <w:widowControl w:val="0"/>
              <w:jc w:val="center"/>
              <w:rPr>
                <w:rFonts w:ascii="Arial" w:eastAsia="Arial" w:hAnsi="Arial" w:cs="Arial"/>
                <w:sz w:val="22"/>
                <w:szCs w:val="22"/>
              </w:rPr>
            </w:pPr>
            <w:r>
              <w:rPr>
                <w:rFonts w:ascii="Arial" w:eastAsia="Arial" w:hAnsi="Arial" w:cs="Arial"/>
                <w:sz w:val="22"/>
                <w:szCs w:val="22"/>
              </w:rPr>
              <w:t>15%</w:t>
            </w:r>
          </w:p>
        </w:tc>
        <w:tc>
          <w:tcPr>
            <w:tcW w:w="1748" w:type="dxa"/>
            <w:tcMar>
              <w:top w:w="100" w:type="dxa"/>
              <w:left w:w="100" w:type="dxa"/>
              <w:bottom w:w="100" w:type="dxa"/>
              <w:right w:w="100" w:type="dxa"/>
            </w:tcMar>
          </w:tcPr>
          <w:p w14:paraId="256E9ADB" w14:textId="441A3A60" w:rsidR="00A1304E" w:rsidRDefault="00A1304E">
            <w:pPr>
              <w:widowControl w:val="0"/>
              <w:jc w:val="center"/>
              <w:rPr>
                <w:rFonts w:ascii="Arial" w:eastAsia="Arial" w:hAnsi="Arial" w:cs="Arial"/>
                <w:sz w:val="22"/>
                <w:szCs w:val="22"/>
              </w:rPr>
            </w:pPr>
          </w:p>
        </w:tc>
      </w:tr>
      <w:tr w:rsidR="00A1304E" w14:paraId="5292B29F" w14:textId="77777777">
        <w:tc>
          <w:tcPr>
            <w:tcW w:w="3643" w:type="dxa"/>
            <w:tcMar>
              <w:top w:w="100" w:type="dxa"/>
              <w:left w:w="100" w:type="dxa"/>
              <w:bottom w:w="100" w:type="dxa"/>
              <w:right w:w="100" w:type="dxa"/>
            </w:tcMar>
          </w:tcPr>
          <w:p w14:paraId="2F4895A6" w14:textId="77777777" w:rsidR="00A1304E" w:rsidRDefault="006B315E">
            <w:pPr>
              <w:widowControl w:val="0"/>
              <w:rPr>
                <w:rFonts w:ascii="Arial" w:eastAsia="Arial" w:hAnsi="Arial" w:cs="Arial"/>
                <w:b/>
                <w:bCs/>
                <w:sz w:val="22"/>
                <w:szCs w:val="22"/>
              </w:rPr>
            </w:pPr>
            <w:r>
              <w:rPr>
                <w:rFonts w:ascii="Arial" w:eastAsia="Arial" w:hAnsi="Arial" w:cs="Arial"/>
                <w:b/>
                <w:bCs/>
                <w:sz w:val="22"/>
                <w:szCs w:val="22"/>
              </w:rPr>
              <w:t>Analysis Report &amp;  Recommendations for Sustainable Financing</w:t>
            </w:r>
          </w:p>
        </w:tc>
        <w:tc>
          <w:tcPr>
            <w:tcW w:w="1894" w:type="dxa"/>
            <w:tcMar>
              <w:top w:w="100" w:type="dxa"/>
              <w:left w:w="100" w:type="dxa"/>
              <w:bottom w:w="100" w:type="dxa"/>
              <w:right w:w="100" w:type="dxa"/>
            </w:tcMar>
          </w:tcPr>
          <w:p w14:paraId="0EA1C62B" w14:textId="77777777" w:rsidR="00A1304E" w:rsidRDefault="006B315E">
            <w:pPr>
              <w:widowControl w:val="0"/>
              <w:jc w:val="center"/>
              <w:rPr>
                <w:rFonts w:ascii="Arial" w:eastAsia="Arial" w:hAnsi="Arial" w:cs="Arial"/>
                <w:sz w:val="22"/>
                <w:szCs w:val="22"/>
              </w:rPr>
            </w:pPr>
            <w:r>
              <w:rPr>
                <w:rFonts w:ascii="Arial" w:eastAsia="Arial" w:hAnsi="Arial" w:cs="Arial"/>
                <w:sz w:val="22"/>
                <w:szCs w:val="22"/>
              </w:rPr>
              <w:t>Month 3</w:t>
            </w:r>
          </w:p>
        </w:tc>
        <w:tc>
          <w:tcPr>
            <w:tcW w:w="1748" w:type="dxa"/>
            <w:tcMar>
              <w:top w:w="100" w:type="dxa"/>
              <w:left w:w="100" w:type="dxa"/>
              <w:bottom w:w="100" w:type="dxa"/>
              <w:right w:w="100" w:type="dxa"/>
            </w:tcMar>
          </w:tcPr>
          <w:p w14:paraId="6F3C1052" w14:textId="77777777" w:rsidR="00A1304E" w:rsidRDefault="006B315E">
            <w:pPr>
              <w:widowControl w:val="0"/>
              <w:jc w:val="center"/>
              <w:rPr>
                <w:rFonts w:ascii="Arial" w:eastAsia="Arial" w:hAnsi="Arial" w:cs="Arial"/>
                <w:sz w:val="22"/>
                <w:szCs w:val="22"/>
              </w:rPr>
            </w:pPr>
            <w:r>
              <w:rPr>
                <w:rFonts w:ascii="Arial" w:eastAsia="Arial" w:hAnsi="Arial" w:cs="Arial"/>
                <w:sz w:val="22"/>
                <w:szCs w:val="22"/>
              </w:rPr>
              <w:t>20%</w:t>
            </w:r>
          </w:p>
        </w:tc>
        <w:tc>
          <w:tcPr>
            <w:tcW w:w="1748" w:type="dxa"/>
            <w:tcMar>
              <w:top w:w="100" w:type="dxa"/>
              <w:left w:w="100" w:type="dxa"/>
              <w:bottom w:w="100" w:type="dxa"/>
              <w:right w:w="100" w:type="dxa"/>
            </w:tcMar>
          </w:tcPr>
          <w:p w14:paraId="6E4B1C89" w14:textId="356378B3" w:rsidR="00A1304E" w:rsidRDefault="00A1304E">
            <w:pPr>
              <w:widowControl w:val="0"/>
              <w:jc w:val="center"/>
              <w:rPr>
                <w:rFonts w:ascii="Arial" w:eastAsia="Arial" w:hAnsi="Arial" w:cs="Arial"/>
                <w:sz w:val="22"/>
                <w:szCs w:val="22"/>
              </w:rPr>
            </w:pPr>
          </w:p>
        </w:tc>
      </w:tr>
      <w:tr w:rsidR="00A1304E" w14:paraId="07059195" w14:textId="77777777">
        <w:tc>
          <w:tcPr>
            <w:tcW w:w="3643" w:type="dxa"/>
            <w:tcMar>
              <w:top w:w="100" w:type="dxa"/>
              <w:left w:w="100" w:type="dxa"/>
              <w:bottom w:w="100" w:type="dxa"/>
              <w:right w:w="100" w:type="dxa"/>
            </w:tcMar>
          </w:tcPr>
          <w:p w14:paraId="60DB6B88" w14:textId="77777777" w:rsidR="00A1304E" w:rsidRDefault="006B315E">
            <w:pPr>
              <w:widowControl w:val="0"/>
              <w:rPr>
                <w:rFonts w:ascii="Arial" w:eastAsia="Arial" w:hAnsi="Arial" w:cs="Arial"/>
                <w:b/>
                <w:bCs/>
                <w:sz w:val="22"/>
                <w:szCs w:val="22"/>
              </w:rPr>
            </w:pPr>
            <w:r>
              <w:rPr>
                <w:rFonts w:ascii="Arial" w:eastAsia="Arial" w:hAnsi="Arial" w:cs="Arial"/>
                <w:b/>
                <w:bCs/>
                <w:sz w:val="22"/>
                <w:szCs w:val="22"/>
              </w:rPr>
              <w:t>Workshop and Consultation Report</w:t>
            </w:r>
          </w:p>
        </w:tc>
        <w:tc>
          <w:tcPr>
            <w:tcW w:w="1894" w:type="dxa"/>
            <w:tcMar>
              <w:top w:w="100" w:type="dxa"/>
              <w:left w:w="100" w:type="dxa"/>
              <w:bottom w:w="100" w:type="dxa"/>
              <w:right w:w="100" w:type="dxa"/>
            </w:tcMar>
          </w:tcPr>
          <w:p w14:paraId="5CB91E37" w14:textId="77777777" w:rsidR="00A1304E" w:rsidRDefault="006B315E">
            <w:pPr>
              <w:widowControl w:val="0"/>
              <w:jc w:val="center"/>
              <w:rPr>
                <w:rFonts w:ascii="Arial" w:eastAsia="Arial" w:hAnsi="Arial" w:cs="Arial"/>
                <w:sz w:val="22"/>
                <w:szCs w:val="22"/>
              </w:rPr>
            </w:pPr>
            <w:r>
              <w:rPr>
                <w:rFonts w:ascii="Arial" w:eastAsia="Arial" w:hAnsi="Arial" w:cs="Arial"/>
                <w:sz w:val="22"/>
                <w:szCs w:val="22"/>
              </w:rPr>
              <w:t>Month 5</w:t>
            </w:r>
          </w:p>
        </w:tc>
        <w:tc>
          <w:tcPr>
            <w:tcW w:w="1748" w:type="dxa"/>
            <w:tcMar>
              <w:top w:w="100" w:type="dxa"/>
              <w:left w:w="100" w:type="dxa"/>
              <w:bottom w:w="100" w:type="dxa"/>
              <w:right w:w="100" w:type="dxa"/>
            </w:tcMar>
          </w:tcPr>
          <w:p w14:paraId="44C90DB4" w14:textId="77777777" w:rsidR="00A1304E" w:rsidRDefault="006B315E">
            <w:pPr>
              <w:widowControl w:val="0"/>
              <w:jc w:val="center"/>
              <w:rPr>
                <w:rFonts w:ascii="Arial" w:eastAsia="Arial" w:hAnsi="Arial" w:cs="Arial"/>
                <w:sz w:val="22"/>
                <w:szCs w:val="22"/>
              </w:rPr>
            </w:pPr>
            <w:r>
              <w:rPr>
                <w:rFonts w:ascii="Arial" w:eastAsia="Arial" w:hAnsi="Arial" w:cs="Arial"/>
                <w:sz w:val="22"/>
                <w:szCs w:val="22"/>
              </w:rPr>
              <w:t>20%</w:t>
            </w:r>
          </w:p>
        </w:tc>
        <w:tc>
          <w:tcPr>
            <w:tcW w:w="1748" w:type="dxa"/>
            <w:tcMar>
              <w:top w:w="100" w:type="dxa"/>
              <w:left w:w="100" w:type="dxa"/>
              <w:bottom w:w="100" w:type="dxa"/>
              <w:right w:w="100" w:type="dxa"/>
            </w:tcMar>
          </w:tcPr>
          <w:p w14:paraId="701F978B" w14:textId="3D3E5C6D" w:rsidR="00A1304E" w:rsidRDefault="00A1304E">
            <w:pPr>
              <w:widowControl w:val="0"/>
              <w:jc w:val="center"/>
              <w:rPr>
                <w:rFonts w:ascii="Arial" w:eastAsia="Arial" w:hAnsi="Arial" w:cs="Arial"/>
                <w:sz w:val="22"/>
                <w:szCs w:val="22"/>
              </w:rPr>
            </w:pPr>
          </w:p>
        </w:tc>
      </w:tr>
      <w:tr w:rsidR="00A1304E" w14:paraId="3F5FB892" w14:textId="77777777">
        <w:tc>
          <w:tcPr>
            <w:tcW w:w="3643" w:type="dxa"/>
            <w:tcMar>
              <w:top w:w="100" w:type="dxa"/>
              <w:left w:w="100" w:type="dxa"/>
              <w:bottom w:w="100" w:type="dxa"/>
              <w:right w:w="100" w:type="dxa"/>
            </w:tcMar>
          </w:tcPr>
          <w:p w14:paraId="7BAEABC3" w14:textId="77777777" w:rsidR="00A1304E" w:rsidRDefault="006B315E">
            <w:pPr>
              <w:widowControl w:val="0"/>
              <w:rPr>
                <w:rFonts w:ascii="Arial" w:eastAsia="Arial" w:hAnsi="Arial" w:cs="Arial"/>
                <w:b/>
                <w:bCs/>
                <w:sz w:val="22"/>
                <w:szCs w:val="22"/>
              </w:rPr>
            </w:pPr>
            <w:r>
              <w:rPr>
                <w:rFonts w:ascii="Arial" w:eastAsia="Arial" w:hAnsi="Arial" w:cs="Arial"/>
                <w:b/>
                <w:bCs/>
                <w:sz w:val="22"/>
                <w:szCs w:val="22"/>
              </w:rPr>
              <w:t>Draft Business Plans</w:t>
            </w:r>
          </w:p>
        </w:tc>
        <w:tc>
          <w:tcPr>
            <w:tcW w:w="1894" w:type="dxa"/>
            <w:tcMar>
              <w:top w:w="100" w:type="dxa"/>
              <w:left w:w="100" w:type="dxa"/>
              <w:bottom w:w="100" w:type="dxa"/>
              <w:right w:w="100" w:type="dxa"/>
            </w:tcMar>
          </w:tcPr>
          <w:p w14:paraId="77003F3D" w14:textId="77777777" w:rsidR="00A1304E" w:rsidRDefault="006B315E">
            <w:pPr>
              <w:widowControl w:val="0"/>
              <w:jc w:val="center"/>
              <w:rPr>
                <w:rFonts w:ascii="Arial" w:eastAsia="Arial" w:hAnsi="Arial" w:cs="Arial"/>
                <w:sz w:val="22"/>
                <w:szCs w:val="22"/>
              </w:rPr>
            </w:pPr>
            <w:r>
              <w:rPr>
                <w:rFonts w:ascii="Arial" w:eastAsia="Arial" w:hAnsi="Arial" w:cs="Arial"/>
                <w:sz w:val="22"/>
                <w:szCs w:val="22"/>
              </w:rPr>
              <w:t>Month 7</w:t>
            </w:r>
          </w:p>
        </w:tc>
        <w:tc>
          <w:tcPr>
            <w:tcW w:w="1748" w:type="dxa"/>
            <w:tcMar>
              <w:top w:w="100" w:type="dxa"/>
              <w:left w:w="100" w:type="dxa"/>
              <w:bottom w:w="100" w:type="dxa"/>
              <w:right w:w="100" w:type="dxa"/>
            </w:tcMar>
          </w:tcPr>
          <w:p w14:paraId="5F86FA79" w14:textId="77777777" w:rsidR="00A1304E" w:rsidRDefault="006B315E">
            <w:pPr>
              <w:widowControl w:val="0"/>
              <w:jc w:val="center"/>
              <w:rPr>
                <w:rFonts w:ascii="Arial" w:eastAsia="Arial" w:hAnsi="Arial" w:cs="Arial"/>
                <w:sz w:val="22"/>
                <w:szCs w:val="22"/>
              </w:rPr>
            </w:pPr>
            <w:r>
              <w:rPr>
                <w:rFonts w:ascii="Arial" w:eastAsia="Arial" w:hAnsi="Arial" w:cs="Arial"/>
                <w:sz w:val="22"/>
                <w:szCs w:val="22"/>
              </w:rPr>
              <w:t>15%</w:t>
            </w:r>
          </w:p>
        </w:tc>
        <w:tc>
          <w:tcPr>
            <w:tcW w:w="1748" w:type="dxa"/>
            <w:tcMar>
              <w:top w:w="100" w:type="dxa"/>
              <w:left w:w="100" w:type="dxa"/>
              <w:bottom w:w="100" w:type="dxa"/>
              <w:right w:w="100" w:type="dxa"/>
            </w:tcMar>
          </w:tcPr>
          <w:p w14:paraId="5843E2C6" w14:textId="1C6C9C7D" w:rsidR="00A1304E" w:rsidRDefault="00A1304E">
            <w:pPr>
              <w:widowControl w:val="0"/>
              <w:jc w:val="center"/>
              <w:rPr>
                <w:rFonts w:ascii="Arial" w:eastAsia="Arial" w:hAnsi="Arial" w:cs="Arial"/>
                <w:sz w:val="22"/>
                <w:szCs w:val="22"/>
              </w:rPr>
            </w:pPr>
          </w:p>
        </w:tc>
      </w:tr>
      <w:tr w:rsidR="00A1304E" w14:paraId="7B560C90" w14:textId="77777777">
        <w:tc>
          <w:tcPr>
            <w:tcW w:w="3643" w:type="dxa"/>
            <w:tcMar>
              <w:top w:w="100" w:type="dxa"/>
              <w:left w:w="100" w:type="dxa"/>
              <w:bottom w:w="100" w:type="dxa"/>
              <w:right w:w="100" w:type="dxa"/>
            </w:tcMar>
          </w:tcPr>
          <w:p w14:paraId="56388F6E" w14:textId="77777777" w:rsidR="00A1304E" w:rsidRDefault="006B315E">
            <w:pPr>
              <w:widowControl w:val="0"/>
              <w:rPr>
                <w:rFonts w:ascii="Arial" w:eastAsia="Arial" w:hAnsi="Arial" w:cs="Arial"/>
                <w:b/>
                <w:bCs/>
                <w:sz w:val="22"/>
                <w:szCs w:val="22"/>
              </w:rPr>
            </w:pPr>
            <w:r>
              <w:rPr>
                <w:rFonts w:ascii="Arial" w:eastAsia="Arial" w:hAnsi="Arial" w:cs="Arial"/>
                <w:b/>
                <w:bCs/>
                <w:sz w:val="22"/>
                <w:szCs w:val="22"/>
              </w:rPr>
              <w:t>Final Integrated Report</w:t>
            </w:r>
          </w:p>
        </w:tc>
        <w:tc>
          <w:tcPr>
            <w:tcW w:w="1894" w:type="dxa"/>
            <w:tcMar>
              <w:top w:w="100" w:type="dxa"/>
              <w:left w:w="100" w:type="dxa"/>
              <w:bottom w:w="100" w:type="dxa"/>
              <w:right w:w="100" w:type="dxa"/>
            </w:tcMar>
          </w:tcPr>
          <w:p w14:paraId="52E3595C" w14:textId="77777777" w:rsidR="00A1304E" w:rsidRDefault="006B315E">
            <w:pPr>
              <w:widowControl w:val="0"/>
              <w:jc w:val="center"/>
              <w:rPr>
                <w:rFonts w:ascii="Arial" w:eastAsia="Arial" w:hAnsi="Arial" w:cs="Arial"/>
                <w:sz w:val="22"/>
                <w:szCs w:val="22"/>
              </w:rPr>
            </w:pPr>
            <w:r>
              <w:rPr>
                <w:rFonts w:ascii="Arial" w:eastAsia="Arial" w:hAnsi="Arial" w:cs="Arial"/>
                <w:sz w:val="22"/>
                <w:szCs w:val="22"/>
              </w:rPr>
              <w:t>Month 9-10</w:t>
            </w:r>
          </w:p>
        </w:tc>
        <w:tc>
          <w:tcPr>
            <w:tcW w:w="1748" w:type="dxa"/>
            <w:tcMar>
              <w:top w:w="100" w:type="dxa"/>
              <w:left w:w="100" w:type="dxa"/>
              <w:bottom w:w="100" w:type="dxa"/>
              <w:right w:w="100" w:type="dxa"/>
            </w:tcMar>
          </w:tcPr>
          <w:p w14:paraId="76E7F58F" w14:textId="77777777" w:rsidR="00A1304E" w:rsidRDefault="006B315E">
            <w:pPr>
              <w:widowControl w:val="0"/>
              <w:jc w:val="center"/>
              <w:rPr>
                <w:rFonts w:ascii="Arial" w:eastAsia="Arial" w:hAnsi="Arial" w:cs="Arial"/>
                <w:sz w:val="22"/>
                <w:szCs w:val="22"/>
              </w:rPr>
            </w:pPr>
            <w:r>
              <w:rPr>
                <w:rFonts w:ascii="Arial" w:eastAsia="Arial" w:hAnsi="Arial" w:cs="Arial"/>
                <w:sz w:val="22"/>
                <w:szCs w:val="22"/>
              </w:rPr>
              <w:t>15%</w:t>
            </w:r>
          </w:p>
        </w:tc>
        <w:tc>
          <w:tcPr>
            <w:tcW w:w="1748" w:type="dxa"/>
            <w:tcMar>
              <w:top w:w="100" w:type="dxa"/>
              <w:left w:w="100" w:type="dxa"/>
              <w:bottom w:w="100" w:type="dxa"/>
              <w:right w:w="100" w:type="dxa"/>
            </w:tcMar>
          </w:tcPr>
          <w:p w14:paraId="3BC478AB" w14:textId="0DBC278D" w:rsidR="00A1304E" w:rsidRDefault="00A1304E">
            <w:pPr>
              <w:widowControl w:val="0"/>
              <w:jc w:val="center"/>
              <w:rPr>
                <w:rFonts w:ascii="Arial" w:eastAsia="Arial" w:hAnsi="Arial" w:cs="Arial"/>
                <w:sz w:val="22"/>
                <w:szCs w:val="22"/>
              </w:rPr>
            </w:pPr>
          </w:p>
        </w:tc>
      </w:tr>
      <w:tr w:rsidR="00A1304E" w14:paraId="16450CE4" w14:textId="77777777">
        <w:tc>
          <w:tcPr>
            <w:tcW w:w="3643" w:type="dxa"/>
            <w:tcMar>
              <w:top w:w="100" w:type="dxa"/>
              <w:left w:w="100" w:type="dxa"/>
              <w:bottom w:w="100" w:type="dxa"/>
              <w:right w:w="100" w:type="dxa"/>
            </w:tcMar>
          </w:tcPr>
          <w:p w14:paraId="2F2CE55A" w14:textId="77777777" w:rsidR="00A1304E" w:rsidRDefault="00A1304E">
            <w:pPr>
              <w:widowControl w:val="0"/>
              <w:rPr>
                <w:rFonts w:ascii="Arial" w:eastAsia="Arial" w:hAnsi="Arial" w:cs="Arial"/>
                <w:b/>
                <w:bCs/>
                <w:sz w:val="22"/>
                <w:szCs w:val="22"/>
              </w:rPr>
            </w:pPr>
          </w:p>
        </w:tc>
        <w:tc>
          <w:tcPr>
            <w:tcW w:w="1894" w:type="dxa"/>
            <w:tcMar>
              <w:top w:w="100" w:type="dxa"/>
              <w:left w:w="100" w:type="dxa"/>
              <w:bottom w:w="100" w:type="dxa"/>
              <w:right w:w="100" w:type="dxa"/>
            </w:tcMar>
          </w:tcPr>
          <w:p w14:paraId="68677D0B" w14:textId="77777777" w:rsidR="00A1304E" w:rsidRDefault="006B315E">
            <w:pPr>
              <w:widowControl w:val="0"/>
              <w:jc w:val="center"/>
              <w:rPr>
                <w:rFonts w:ascii="Arial" w:eastAsia="Arial" w:hAnsi="Arial" w:cs="Arial"/>
                <w:sz w:val="22"/>
                <w:szCs w:val="22"/>
              </w:rPr>
            </w:pPr>
            <w:r>
              <w:rPr>
                <w:rFonts w:ascii="Arial" w:eastAsia="Arial" w:hAnsi="Arial" w:cs="Arial"/>
                <w:sz w:val="22"/>
                <w:szCs w:val="22"/>
              </w:rPr>
              <w:t>TOTAL</w:t>
            </w:r>
          </w:p>
        </w:tc>
        <w:tc>
          <w:tcPr>
            <w:tcW w:w="1748" w:type="dxa"/>
            <w:tcMar>
              <w:top w:w="100" w:type="dxa"/>
              <w:left w:w="100" w:type="dxa"/>
              <w:bottom w:w="100" w:type="dxa"/>
              <w:right w:w="100" w:type="dxa"/>
            </w:tcMar>
          </w:tcPr>
          <w:p w14:paraId="6534F68C" w14:textId="77777777" w:rsidR="00A1304E" w:rsidRDefault="006B315E">
            <w:pPr>
              <w:widowControl w:val="0"/>
              <w:jc w:val="center"/>
              <w:rPr>
                <w:rFonts w:ascii="Arial" w:eastAsia="Arial" w:hAnsi="Arial" w:cs="Arial"/>
                <w:b/>
                <w:bCs/>
                <w:sz w:val="22"/>
                <w:szCs w:val="22"/>
              </w:rPr>
            </w:pPr>
            <w:r>
              <w:rPr>
                <w:rFonts w:ascii="Arial" w:eastAsia="Arial" w:hAnsi="Arial" w:cs="Arial"/>
                <w:b/>
                <w:bCs/>
                <w:sz w:val="22"/>
                <w:szCs w:val="22"/>
              </w:rPr>
              <w:t>100%</w:t>
            </w:r>
          </w:p>
        </w:tc>
        <w:tc>
          <w:tcPr>
            <w:tcW w:w="1748" w:type="dxa"/>
            <w:tcMar>
              <w:top w:w="100" w:type="dxa"/>
              <w:left w:w="100" w:type="dxa"/>
              <w:bottom w:w="100" w:type="dxa"/>
              <w:right w:w="100" w:type="dxa"/>
            </w:tcMar>
          </w:tcPr>
          <w:p w14:paraId="3BE333BF" w14:textId="06461249" w:rsidR="00A1304E" w:rsidRDefault="00A1304E">
            <w:pPr>
              <w:widowControl w:val="0"/>
              <w:jc w:val="center"/>
              <w:rPr>
                <w:rFonts w:ascii="Arial" w:eastAsia="Arial" w:hAnsi="Arial" w:cs="Arial"/>
                <w:b/>
                <w:bCs/>
                <w:sz w:val="22"/>
                <w:szCs w:val="22"/>
              </w:rPr>
            </w:pPr>
          </w:p>
        </w:tc>
      </w:tr>
    </w:tbl>
    <w:p w14:paraId="720C4CE2" w14:textId="77777777" w:rsidR="00A1304E" w:rsidRDefault="00A1304E">
      <w:pPr>
        <w:ind w:right="-154"/>
        <w:rPr>
          <w:rFonts w:ascii="Arial" w:eastAsia="Arial" w:hAnsi="Arial" w:cs="Arial"/>
          <w:i/>
          <w:iCs/>
          <w:sz w:val="20"/>
          <w:szCs w:val="20"/>
        </w:rPr>
      </w:pPr>
    </w:p>
    <w:p w14:paraId="5CEE73EF" w14:textId="77777777" w:rsidR="00A1304E" w:rsidRDefault="006B315E">
      <w:pPr>
        <w:ind w:right="-154"/>
        <w:rPr>
          <w:rFonts w:ascii="Arial" w:eastAsia="Arial" w:hAnsi="Arial" w:cs="Arial"/>
          <w:i/>
          <w:iCs/>
          <w:sz w:val="20"/>
          <w:szCs w:val="20"/>
        </w:rPr>
      </w:pPr>
      <w:r>
        <w:rPr>
          <w:rFonts w:ascii="Arial" w:eastAsia="Arial" w:hAnsi="Arial" w:cs="Arial"/>
          <w:i/>
          <w:iCs/>
          <w:sz w:val="20"/>
          <w:szCs w:val="20"/>
        </w:rPr>
        <w:lastRenderedPageBreak/>
        <w:t>Note:</w:t>
      </w:r>
    </w:p>
    <w:p w14:paraId="42E27F27" w14:textId="77777777" w:rsidR="00A1304E" w:rsidRDefault="006B315E">
      <w:pPr>
        <w:ind w:right="-154"/>
        <w:rPr>
          <w:rFonts w:ascii="Arial" w:eastAsia="Arial" w:hAnsi="Arial" w:cs="Arial"/>
          <w:i/>
          <w:iCs/>
          <w:sz w:val="20"/>
          <w:szCs w:val="20"/>
        </w:rPr>
      </w:pPr>
      <w:r>
        <w:rPr>
          <w:rFonts w:ascii="Arial" w:eastAsia="Arial" w:hAnsi="Arial" w:cs="Arial"/>
          <w:i/>
          <w:iCs/>
          <w:sz w:val="20"/>
          <w:szCs w:val="20"/>
        </w:rPr>
        <w:t xml:space="preserve">Suggest to assign deliverables per quarter and be paid upon submission of progress report per quarter, </w:t>
      </w:r>
      <w:r>
        <w:rPr>
          <w:rFonts w:ascii="Arial" w:eastAsia="Arial" w:hAnsi="Arial" w:cs="Arial"/>
          <w:i/>
          <w:iCs/>
          <w:sz w:val="20"/>
          <w:szCs w:val="20"/>
        </w:rPr>
        <w:t>submitted 7 working days before end of quarter, (this is to reconcile with the quarterly reporting of ASEAN ENMAPS) </w:t>
      </w:r>
    </w:p>
    <w:p w14:paraId="0634C128" w14:textId="77777777" w:rsidR="00A1304E" w:rsidRDefault="00A1304E">
      <w:pPr>
        <w:rPr>
          <w:rFonts w:ascii="Arial" w:eastAsia="Arial" w:hAnsi="Arial" w:cs="Arial"/>
          <w:sz w:val="20"/>
          <w:szCs w:val="20"/>
        </w:rPr>
      </w:pPr>
    </w:p>
    <w:p w14:paraId="30E2C1AC" w14:textId="77777777" w:rsidR="00A1304E" w:rsidRDefault="00A1304E">
      <w:pPr>
        <w:rPr>
          <w:rFonts w:ascii="Arial" w:eastAsia="Arial" w:hAnsi="Arial" w:cs="Arial"/>
          <w:b/>
          <w:bCs/>
          <w:sz w:val="20"/>
          <w:szCs w:val="20"/>
        </w:rPr>
      </w:pPr>
    </w:p>
    <w:p w14:paraId="062CA86C" w14:textId="77777777" w:rsidR="00A1304E" w:rsidRDefault="006B315E">
      <w:pPr>
        <w:rPr>
          <w:rFonts w:ascii="Arial" w:eastAsia="Arial" w:hAnsi="Arial" w:cs="Arial"/>
          <w:b/>
          <w:bCs/>
          <w:sz w:val="20"/>
          <w:szCs w:val="20"/>
        </w:rPr>
      </w:pPr>
      <w:r>
        <w:rPr>
          <w:rFonts w:ascii="Arial" w:eastAsia="Arial" w:hAnsi="Arial" w:cs="Arial"/>
          <w:b/>
          <w:bCs/>
          <w:sz w:val="20"/>
          <w:szCs w:val="20"/>
        </w:rPr>
        <w:t>DURATION AND TIMELINE</w:t>
      </w:r>
    </w:p>
    <w:p w14:paraId="7A45EEE7" w14:textId="77777777" w:rsidR="00A1304E" w:rsidRDefault="006B315E">
      <w:pPr>
        <w:jc w:val="both"/>
        <w:rPr>
          <w:rFonts w:ascii="Arial" w:eastAsia="Arial" w:hAnsi="Arial" w:cs="Arial"/>
          <w:sz w:val="20"/>
          <w:szCs w:val="20"/>
        </w:rPr>
      </w:pPr>
      <w:r>
        <w:rPr>
          <w:rFonts w:ascii="Arial" w:eastAsia="Arial" w:hAnsi="Arial" w:cs="Arial"/>
          <w:sz w:val="20"/>
          <w:szCs w:val="20"/>
        </w:rPr>
        <w:t>The consultancy is expected to run for ten (10) months, starting from the date of the contract signing.</w:t>
      </w:r>
    </w:p>
    <w:p w14:paraId="67EB128B" w14:textId="77777777" w:rsidR="00A1304E" w:rsidRDefault="00A1304E">
      <w:pPr>
        <w:rPr>
          <w:rFonts w:ascii="Arial" w:eastAsia="Arial" w:hAnsi="Arial" w:cs="Arial"/>
          <w:b/>
          <w:bCs/>
          <w:sz w:val="20"/>
          <w:szCs w:val="20"/>
        </w:rPr>
      </w:pPr>
    </w:p>
    <w:p w14:paraId="43C4A072" w14:textId="77777777" w:rsidR="00A1304E" w:rsidRDefault="00A1304E">
      <w:pPr>
        <w:rPr>
          <w:rFonts w:ascii="Arial" w:eastAsia="Arial" w:hAnsi="Arial" w:cs="Arial"/>
          <w:sz w:val="22"/>
          <w:szCs w:val="22"/>
        </w:rPr>
      </w:pPr>
    </w:p>
    <w:p w14:paraId="00A08244" w14:textId="77777777" w:rsidR="00114F0E" w:rsidRDefault="00114F0E">
      <w:pPr>
        <w:rPr>
          <w:rFonts w:ascii="Arial" w:eastAsia="Arial" w:hAnsi="Arial" w:cs="Arial"/>
          <w:sz w:val="22"/>
          <w:szCs w:val="22"/>
        </w:rPr>
      </w:pPr>
    </w:p>
    <w:p w14:paraId="56590412" w14:textId="77777777" w:rsidR="00114F0E" w:rsidRDefault="00114F0E">
      <w:pPr>
        <w:rPr>
          <w:rFonts w:ascii="Arial" w:eastAsia="Arial" w:hAnsi="Arial" w:cs="Arial"/>
          <w:sz w:val="22"/>
          <w:szCs w:val="22"/>
        </w:rPr>
      </w:pPr>
    </w:p>
    <w:p w14:paraId="3EE9E4CE" w14:textId="77777777" w:rsidR="00114F0E" w:rsidRDefault="00114F0E">
      <w:pPr>
        <w:rPr>
          <w:rFonts w:ascii="Arial" w:eastAsia="Arial" w:hAnsi="Arial" w:cs="Arial"/>
          <w:sz w:val="22"/>
          <w:szCs w:val="22"/>
        </w:rPr>
      </w:pPr>
    </w:p>
    <w:p w14:paraId="694C1698" w14:textId="77777777" w:rsidR="00A1304E" w:rsidRDefault="00A1304E">
      <w:pPr>
        <w:ind w:left="720"/>
        <w:jc w:val="both"/>
        <w:rPr>
          <w:rFonts w:ascii="Arial" w:eastAsia="Arial" w:hAnsi="Arial" w:cs="Arial"/>
          <w:b/>
          <w:bCs/>
          <w:sz w:val="22"/>
          <w:szCs w:val="22"/>
        </w:rPr>
      </w:pPr>
    </w:p>
    <w:p w14:paraId="270BB59D" w14:textId="77777777" w:rsidR="00A1304E" w:rsidRDefault="006B315E">
      <w:pPr>
        <w:jc w:val="both"/>
        <w:rPr>
          <w:rFonts w:ascii="Arial" w:eastAsia="Arial" w:hAnsi="Arial" w:cs="Arial"/>
          <w:b/>
          <w:bCs/>
          <w:sz w:val="22"/>
          <w:szCs w:val="22"/>
        </w:rPr>
      </w:pPr>
      <w:r>
        <w:rPr>
          <w:rFonts w:ascii="Arial" w:eastAsia="Arial" w:hAnsi="Arial" w:cs="Arial"/>
          <w:b/>
          <w:bCs/>
          <w:sz w:val="22"/>
          <w:szCs w:val="22"/>
        </w:rPr>
        <w:t>IMPLEMENTATION ARRANGEMENT</w:t>
      </w:r>
    </w:p>
    <w:p w14:paraId="07430D33" w14:textId="77777777" w:rsidR="00A1304E" w:rsidRDefault="00A1304E">
      <w:pPr>
        <w:ind w:right="-240"/>
        <w:jc w:val="both"/>
        <w:rPr>
          <w:rFonts w:ascii="Arial" w:eastAsia="Arial" w:hAnsi="Arial" w:cs="Arial"/>
          <w:color w:val="4472C4"/>
          <w:sz w:val="22"/>
          <w:szCs w:val="22"/>
        </w:rPr>
      </w:pPr>
    </w:p>
    <w:p w14:paraId="325E03BE" w14:textId="77777777" w:rsidR="00A1304E" w:rsidRDefault="006B315E" w:rsidP="00114F0E">
      <w:pPr>
        <w:jc w:val="both"/>
        <w:rPr>
          <w:rFonts w:ascii="Arial" w:eastAsia="Arial" w:hAnsi="Arial" w:cs="Arial"/>
          <w:sz w:val="22"/>
          <w:szCs w:val="22"/>
        </w:rPr>
      </w:pPr>
      <w:r>
        <w:rPr>
          <w:rFonts w:ascii="Arial" w:eastAsia="Arial" w:hAnsi="Arial" w:cs="Arial"/>
          <w:sz w:val="22"/>
          <w:szCs w:val="22"/>
        </w:rPr>
        <w:t>The</w:t>
      </w:r>
      <w:r>
        <w:rPr>
          <w:rFonts w:ascii="Arial" w:eastAsia="Arial" w:hAnsi="Arial" w:cs="Arial"/>
          <w:b/>
          <w:bCs/>
          <w:sz w:val="22"/>
          <w:szCs w:val="22"/>
        </w:rPr>
        <w:t xml:space="preserve"> </w:t>
      </w:r>
      <w:r>
        <w:rPr>
          <w:rFonts w:ascii="Arial" w:eastAsia="Arial" w:hAnsi="Arial" w:cs="Arial"/>
          <w:sz w:val="22"/>
          <w:szCs w:val="22"/>
        </w:rPr>
        <w:t>Consultant coordinates with the ASEAN ENMAPS National Project Manager for Thailand, the assigned National Focal Agency coordinator and with relevant Site Officers as necessary.</w:t>
      </w:r>
    </w:p>
    <w:p w14:paraId="5BC25BED" w14:textId="77777777" w:rsidR="00A1304E" w:rsidRDefault="006B315E">
      <w:pPr>
        <w:jc w:val="both"/>
        <w:rPr>
          <w:rFonts w:ascii="Arial" w:eastAsia="Arial" w:hAnsi="Arial" w:cs="Arial"/>
          <w:b/>
          <w:bCs/>
          <w:sz w:val="22"/>
          <w:szCs w:val="22"/>
        </w:rPr>
      </w:pPr>
      <w:r>
        <w:rPr>
          <w:rFonts w:ascii="Arial" w:eastAsia="Arial" w:hAnsi="Arial" w:cs="Arial"/>
          <w:sz w:val="22"/>
          <w:szCs w:val="22"/>
        </w:rPr>
        <w:br/>
        <w:t xml:space="preserve">Periodic project reports are to be copied to </w:t>
      </w:r>
      <w:r>
        <w:rPr>
          <w:rFonts w:ascii="Arial" w:eastAsia="Arial" w:hAnsi="Arial" w:cs="Arial"/>
          <w:sz w:val="22"/>
          <w:szCs w:val="22"/>
        </w:rPr>
        <w:t>the ASEAN ENMAPS National Project Manager for Thailand, the assigned National Focal Agency coordinator;</w:t>
      </w:r>
      <w:r>
        <w:rPr>
          <w:rFonts w:ascii="Arial" w:eastAsia="Arial" w:hAnsi="Arial" w:cs="Arial"/>
          <w:b/>
          <w:bCs/>
          <w:sz w:val="22"/>
          <w:szCs w:val="22"/>
        </w:rPr>
        <w:t xml:space="preserve"> and the ASEAN ENMAPS Project Management Unit (PMU). </w:t>
      </w:r>
    </w:p>
    <w:p w14:paraId="4A4D6D03" w14:textId="77777777" w:rsidR="00A1304E" w:rsidRDefault="00A1304E">
      <w:pPr>
        <w:jc w:val="both"/>
        <w:rPr>
          <w:rFonts w:ascii="Arial" w:eastAsia="Arial" w:hAnsi="Arial" w:cs="Arial"/>
          <w:b/>
          <w:bCs/>
          <w:sz w:val="22"/>
          <w:szCs w:val="22"/>
        </w:rPr>
      </w:pPr>
    </w:p>
    <w:p w14:paraId="175BE4BC" w14:textId="77777777" w:rsidR="00A1304E" w:rsidRDefault="006B315E">
      <w:pPr>
        <w:rPr>
          <w:rFonts w:ascii="Arial" w:eastAsia="Arial" w:hAnsi="Arial" w:cs="Arial"/>
          <w:sz w:val="22"/>
          <w:szCs w:val="22"/>
        </w:rPr>
      </w:pPr>
      <w:r>
        <w:rPr>
          <w:rFonts w:ascii="Arial" w:eastAsia="Arial" w:hAnsi="Arial" w:cs="Arial"/>
          <w:sz w:val="22"/>
          <w:szCs w:val="22"/>
        </w:rPr>
        <w:t>All reports are subject to review and approval by the ACB.</w:t>
      </w:r>
    </w:p>
    <w:p w14:paraId="3B62AF34" w14:textId="77777777" w:rsidR="00A1304E" w:rsidRDefault="006B315E">
      <w:pPr>
        <w:jc w:val="both"/>
        <w:rPr>
          <w:rFonts w:ascii="Arial" w:eastAsia="Arial" w:hAnsi="Arial" w:cs="Arial"/>
          <w:sz w:val="20"/>
          <w:szCs w:val="20"/>
        </w:rPr>
      </w:pPr>
      <w:r>
        <w:rPr>
          <w:rFonts w:ascii="Arial" w:eastAsia="Arial" w:hAnsi="Arial" w:cs="Arial"/>
          <w:sz w:val="20"/>
          <w:szCs w:val="20"/>
        </w:rPr>
        <w:br/>
      </w:r>
    </w:p>
    <w:sectPr w:rsidR="00A1304E" w:rsidSect="000C1A2A">
      <w:headerReference w:type="default" r:id="rId8"/>
      <w:footerReference w:type="default" r:id="rId9"/>
      <w:headerReference w:type="first" r:id="rId10"/>
      <w:footerReference w:type="first" r:id="rId11"/>
      <w:pgSz w:w="11906" w:h="16838"/>
      <w:pgMar w:top="1440" w:right="1466" w:bottom="1530" w:left="1440"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A2D50C" w14:textId="77777777" w:rsidR="006B315E" w:rsidRDefault="006B315E">
      <w:r>
        <w:separator/>
      </w:r>
    </w:p>
  </w:endnote>
  <w:endnote w:type="continuationSeparator" w:id="0">
    <w:p w14:paraId="269B0769" w14:textId="77777777" w:rsidR="006B315E" w:rsidRDefault="006B3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BFAF6699-229C-4B0E-92D7-1B0BAF7C2C2D}"/>
  </w:font>
  <w:font w:name="Calibri">
    <w:panose1 w:val="020F0502020204030204"/>
    <w:charset w:val="00"/>
    <w:family w:val="swiss"/>
    <w:pitch w:val="variable"/>
    <w:sig w:usb0="E4002EFF" w:usb1="C200247B" w:usb2="00000009" w:usb3="00000000" w:csb0="000001FF" w:csb1="00000000"/>
    <w:embedRegular r:id="rId2" w:fontKey="{89124C86-C338-4C79-AD90-4CFE952686D8}"/>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embedItalic r:id="rId3" w:fontKey="{2272C3FA-C795-4836-BEC7-0BEB99111820}"/>
  </w:font>
  <w:font w:name="Calibri Light">
    <w:panose1 w:val="020F0302020204030204"/>
    <w:charset w:val="00"/>
    <w:family w:val="swiss"/>
    <w:pitch w:val="variable"/>
    <w:sig w:usb0="E4002EFF" w:usb1="C200247B" w:usb2="00000009" w:usb3="00000000" w:csb0="000001FF" w:csb1="00000000"/>
    <w:embedRegular r:id="rId4" w:fontKey="{E1B80B27-CA81-43FF-9E47-DDDC9A02F24D}"/>
  </w:font>
  <w:font w:name="Liberation Sans Narrow">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embedRegular r:id="rId5" w:fontKey="{9F699CB4-36D3-4AF4-AAD3-CC62CA111BAB}"/>
    <w:embedBold r:id="rId6" w:fontKey="{D75E471E-422A-4E40-A2D8-1A96477DFB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3D7E7" w14:textId="77777777" w:rsidR="00A1304E" w:rsidRDefault="006B315E">
    <w:pPr>
      <w:pBdr>
        <w:top w:val="nil"/>
        <w:left w:val="nil"/>
        <w:bottom w:val="nil"/>
        <w:right w:val="nil"/>
        <w:between w:val="nil"/>
      </w:pBdr>
      <w:tabs>
        <w:tab w:val="center" w:pos="4680"/>
        <w:tab w:val="right" w:pos="9360"/>
      </w:tabs>
      <w:rPr>
        <w:color w:val="000000"/>
      </w:rPr>
    </w:pPr>
    <w:r>
      <w:rPr>
        <w:noProof/>
        <w:lang w:val="en-US"/>
      </w:rPr>
      <w:drawing>
        <wp:anchor distT="0" distB="0" distL="114300" distR="114300" simplePos="0" relativeHeight="251660288" behindDoc="0" locked="0" layoutInCell="1" hidden="0" allowOverlap="1" wp14:anchorId="4A6699C6" wp14:editId="5D2617FF">
          <wp:simplePos x="0" y="0"/>
          <wp:positionH relativeFrom="column">
            <wp:posOffset>-990599</wp:posOffset>
          </wp:positionH>
          <wp:positionV relativeFrom="paragraph">
            <wp:posOffset>-580404</wp:posOffset>
          </wp:positionV>
          <wp:extent cx="7598775" cy="972367"/>
          <wp:effectExtent l="0" t="0" r="0" b="0"/>
          <wp:wrapNone/>
          <wp:docPr id="8522670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98775" cy="972367"/>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73DB9" w14:textId="77777777" w:rsidR="00A1304E" w:rsidRDefault="006B315E">
    <w:pPr>
      <w:pBdr>
        <w:top w:val="nil"/>
        <w:left w:val="nil"/>
        <w:bottom w:val="nil"/>
        <w:right w:val="nil"/>
        <w:between w:val="nil"/>
      </w:pBdr>
      <w:tabs>
        <w:tab w:val="center" w:pos="4680"/>
        <w:tab w:val="right" w:pos="9360"/>
        <w:tab w:val="left" w:pos="1808"/>
        <w:tab w:val="left" w:pos="6028"/>
      </w:tabs>
      <w:rPr>
        <w:color w:val="000000"/>
      </w:rPr>
    </w:pPr>
    <w:r>
      <w:rPr>
        <w:color w:val="000000"/>
      </w:rPr>
      <w:tab/>
    </w:r>
    <w:r>
      <w:rPr>
        <w:color w:val="000000"/>
      </w:rPr>
      <w:tab/>
    </w:r>
    <w:r>
      <w:rPr>
        <w:noProof/>
        <w:lang w:val="en-US"/>
      </w:rPr>
      <w:drawing>
        <wp:anchor distT="0" distB="0" distL="114300" distR="114300" simplePos="0" relativeHeight="251661312" behindDoc="0" locked="0" layoutInCell="1" hidden="0" allowOverlap="1" wp14:anchorId="3F2D11F2" wp14:editId="3F164BF4">
          <wp:simplePos x="0" y="0"/>
          <wp:positionH relativeFrom="column">
            <wp:posOffset>-938212</wp:posOffset>
          </wp:positionH>
          <wp:positionV relativeFrom="paragraph">
            <wp:posOffset>-580404</wp:posOffset>
          </wp:positionV>
          <wp:extent cx="7606665" cy="974090"/>
          <wp:effectExtent l="0" t="0" r="0" b="0"/>
          <wp:wrapNone/>
          <wp:docPr id="3027896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06665" cy="9740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EBA0B8" w14:textId="77777777" w:rsidR="006B315E" w:rsidRDefault="006B315E">
      <w:r>
        <w:separator/>
      </w:r>
    </w:p>
  </w:footnote>
  <w:footnote w:type="continuationSeparator" w:id="0">
    <w:p w14:paraId="7D8F4ED1" w14:textId="77777777" w:rsidR="006B315E" w:rsidRDefault="006B31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562CB" w14:textId="77777777" w:rsidR="00A1304E" w:rsidRDefault="006B315E">
    <w:pPr>
      <w:pBdr>
        <w:top w:val="nil"/>
        <w:left w:val="nil"/>
        <w:bottom w:val="nil"/>
        <w:right w:val="nil"/>
        <w:between w:val="nil"/>
      </w:pBdr>
      <w:tabs>
        <w:tab w:val="center" w:pos="4680"/>
        <w:tab w:val="right" w:pos="9360"/>
      </w:tabs>
      <w:rPr>
        <w:color w:val="000000"/>
      </w:rPr>
    </w:pPr>
    <w:r>
      <w:rPr>
        <w:noProof/>
        <w:lang w:val="en-US"/>
      </w:rPr>
      <w:drawing>
        <wp:anchor distT="0" distB="0" distL="114300" distR="114300" simplePos="0" relativeHeight="251658240" behindDoc="0" locked="0" layoutInCell="1" hidden="0" allowOverlap="1" wp14:anchorId="00ABC98D" wp14:editId="595FC71D">
          <wp:simplePos x="0" y="0"/>
          <wp:positionH relativeFrom="page">
            <wp:posOffset>0</wp:posOffset>
          </wp:positionH>
          <wp:positionV relativeFrom="page">
            <wp:posOffset>50165</wp:posOffset>
          </wp:positionV>
          <wp:extent cx="7780849" cy="671641"/>
          <wp:effectExtent l="0" t="0" r="0" b="0"/>
          <wp:wrapSquare wrapText="bothSides" distT="0" distB="0" distL="114300" distR="114300"/>
          <wp:docPr id="3483533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80849" cy="671641"/>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119AA" w14:textId="77777777" w:rsidR="00A1304E" w:rsidRDefault="006B315E">
    <w:pPr>
      <w:jc w:val="right"/>
      <w:rPr>
        <w:rFonts w:ascii="Arial" w:eastAsia="Arial" w:hAnsi="Arial" w:cs="Arial"/>
        <w:color w:val="000000"/>
        <w:sz w:val="14"/>
        <w:szCs w:val="14"/>
      </w:rPr>
    </w:pPr>
    <w:r>
      <w:rPr>
        <w:noProof/>
        <w:lang w:val="en-US"/>
      </w:rPr>
      <w:drawing>
        <wp:anchor distT="0" distB="0" distL="114300" distR="114300" simplePos="0" relativeHeight="251659264" behindDoc="0" locked="0" layoutInCell="1" hidden="0" allowOverlap="1" wp14:anchorId="19736E07" wp14:editId="7C50B497">
          <wp:simplePos x="0" y="0"/>
          <wp:positionH relativeFrom="column">
            <wp:posOffset>-981074</wp:posOffset>
          </wp:positionH>
          <wp:positionV relativeFrom="paragraph">
            <wp:posOffset>-450214</wp:posOffset>
          </wp:positionV>
          <wp:extent cx="7698740" cy="914400"/>
          <wp:effectExtent l="0" t="0" r="0" b="0"/>
          <wp:wrapTopAndBottom distT="0" distB="0"/>
          <wp:docPr id="21088386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98740" cy="914400"/>
                  </a:xfrm>
                  <a:prstGeom prst="rect">
                    <a:avLst/>
                  </a:prstGeom>
                  <a:ln/>
                </pic:spPr>
              </pic:pic>
            </a:graphicData>
          </a:graphic>
        </wp:anchor>
      </w:drawing>
    </w:r>
  </w:p>
  <w:p w14:paraId="224230ED" w14:textId="77777777" w:rsidR="00A1304E" w:rsidRDefault="00A1304E">
    <w:pPr>
      <w:jc w:val="right"/>
      <w:rPr>
        <w:rFonts w:ascii="Arial" w:eastAsia="Arial" w:hAnsi="Arial" w:cs="Arial"/>
        <w:color w:val="000000"/>
        <w:sz w:val="14"/>
        <w:szCs w:val="14"/>
      </w:rPr>
    </w:pPr>
  </w:p>
  <w:p w14:paraId="605BC758" w14:textId="77777777" w:rsidR="00A1304E" w:rsidRDefault="00A1304E">
    <w:pPr>
      <w:jc w:val="right"/>
      <w:rPr>
        <w:rFonts w:ascii="Arial" w:eastAsia="Arial" w:hAnsi="Arial" w:cs="Arial"/>
        <w:sz w:val="14"/>
        <w:szCs w:val="14"/>
      </w:rPr>
    </w:pPr>
  </w:p>
  <w:p w14:paraId="3BFB58BE" w14:textId="77777777" w:rsidR="00A1304E" w:rsidRDefault="00A1304E">
    <w:pPr>
      <w:jc w:val="right"/>
      <w:rPr>
        <w:rFonts w:ascii="Arial" w:eastAsia="Arial" w:hAnsi="Arial" w:cs="Arial"/>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7257C"/>
    <w:multiLevelType w:val="multilevel"/>
    <w:tmpl w:val="59A6A5CC"/>
    <w:lvl w:ilvl="0">
      <w:start w:val="1"/>
      <w:numFmt w:val="upperLetter"/>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BED0D83"/>
    <w:multiLevelType w:val="multilevel"/>
    <w:tmpl w:val="02F0F5CE"/>
    <w:lvl w:ilvl="0">
      <w:start w:val="1"/>
      <w:numFmt w:val="upperRoman"/>
      <w:lvlText w:val="%1."/>
      <w:lvlJc w:val="right"/>
      <w:pPr>
        <w:ind w:left="360" w:hanging="360"/>
      </w:pPr>
      <w:rPr>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04E"/>
    <w:rsid w:val="000215A6"/>
    <w:rsid w:val="000C1A2A"/>
    <w:rsid w:val="0010396C"/>
    <w:rsid w:val="00114F0E"/>
    <w:rsid w:val="001B7E3A"/>
    <w:rsid w:val="0027445A"/>
    <w:rsid w:val="006B315E"/>
    <w:rsid w:val="00A1304E"/>
    <w:rsid w:val="00A77B62"/>
    <w:rsid w:val="00B43A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639E2"/>
  <w15:docId w15:val="{F89A9F3D-3AB0-4A28-AC07-17463649B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rFonts w:ascii="Calibri" w:eastAsia="Calibri" w:hAnsi="Calibri" w:cs="Calibri"/>
      <w:sz w:val="56"/>
      <w:szCs w:val="56"/>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paragraph" w:styleId="Header">
    <w:name w:val="header"/>
    <w:basedOn w:val="Normal"/>
    <w:link w:val="HeaderChar"/>
    <w:uiPriority w:val="99"/>
    <w:unhideWhenUsed/>
    <w:rsid w:val="00D0316B"/>
    <w:pPr>
      <w:tabs>
        <w:tab w:val="center" w:pos="4680"/>
        <w:tab w:val="right" w:pos="9360"/>
      </w:tabs>
    </w:pPr>
  </w:style>
  <w:style w:type="character" w:customStyle="1" w:styleId="HeaderChar">
    <w:name w:val="Header Char"/>
    <w:basedOn w:val="DefaultParagraphFont"/>
    <w:link w:val="Header"/>
    <w:uiPriority w:val="99"/>
    <w:rsid w:val="00D0316B"/>
  </w:style>
  <w:style w:type="paragraph" w:styleId="Footer">
    <w:name w:val="footer"/>
    <w:basedOn w:val="Normal"/>
    <w:link w:val="FooterChar"/>
    <w:uiPriority w:val="99"/>
    <w:unhideWhenUsed/>
    <w:rsid w:val="00D0316B"/>
    <w:pPr>
      <w:tabs>
        <w:tab w:val="center" w:pos="4680"/>
        <w:tab w:val="right" w:pos="9360"/>
      </w:tabs>
    </w:pPr>
  </w:style>
  <w:style w:type="character" w:customStyle="1" w:styleId="FooterChar">
    <w:name w:val="Footer Char"/>
    <w:basedOn w:val="DefaultParagraphFont"/>
    <w:link w:val="Footer"/>
    <w:uiPriority w:val="99"/>
    <w:rsid w:val="00D0316B"/>
  </w:style>
  <w:style w:type="character" w:styleId="Hyperlink">
    <w:name w:val="Hyperlink"/>
    <w:basedOn w:val="DefaultParagraphFont"/>
    <w:uiPriority w:val="99"/>
    <w:unhideWhenUsed/>
    <w:rsid w:val="00D0316B"/>
    <w:rPr>
      <w:color w:val="0563C1" w:themeColor="hyperlink"/>
      <w:u w:val="single"/>
    </w:rPr>
  </w:style>
  <w:style w:type="character" w:customStyle="1" w:styleId="UnresolvedMention1">
    <w:name w:val="Unresolved Mention1"/>
    <w:basedOn w:val="DefaultParagraphFont"/>
    <w:uiPriority w:val="99"/>
    <w:semiHidden/>
    <w:unhideWhenUsed/>
    <w:rsid w:val="00D0316B"/>
    <w:rPr>
      <w:color w:val="605E5C"/>
      <w:shd w:val="clear" w:color="auto" w:fill="E1DFDD"/>
    </w:rPr>
  </w:style>
  <w:style w:type="character" w:customStyle="1" w:styleId="SubtitleChar">
    <w:name w:val="Subtitle Char"/>
    <w:basedOn w:val="DefaultParagraphFont"/>
    <w:link w:val="Subtitle"/>
    <w:rsid w:val="00295C55"/>
    <w:rPr>
      <w:rFonts w:ascii="Arial" w:eastAsia="Lucida Sans Unicode" w:hAnsi="Arial" w:cs="Times New Roman"/>
      <w:i/>
      <w:iCs/>
      <w:sz w:val="28"/>
      <w:szCs w:val="28"/>
      <w:lang w:val="x-none" w:eastAsia="ar-SA"/>
    </w:rPr>
  </w:style>
  <w:style w:type="paragraph" w:styleId="BodyText">
    <w:name w:val="Body Text"/>
    <w:basedOn w:val="Normal"/>
    <w:link w:val="BodyTextChar"/>
    <w:uiPriority w:val="99"/>
    <w:semiHidden/>
    <w:unhideWhenUsed/>
    <w:rsid w:val="00295C55"/>
    <w:pPr>
      <w:spacing w:after="120"/>
    </w:pPr>
  </w:style>
  <w:style w:type="character" w:customStyle="1" w:styleId="BodyTextChar">
    <w:name w:val="Body Text Char"/>
    <w:basedOn w:val="DefaultParagraphFont"/>
    <w:link w:val="BodyText"/>
    <w:uiPriority w:val="99"/>
    <w:semiHidden/>
    <w:rsid w:val="00295C55"/>
    <w:rPr>
      <w:rFonts w:ascii="Times New Roman" w:eastAsia="Times New Roman" w:hAnsi="Times New Roman" w:cs="Times New Roman"/>
      <w:sz w:val="24"/>
      <w:szCs w:val="24"/>
      <w:lang w:val="en-US" w:eastAsia="ar-SA"/>
    </w:rPr>
  </w:style>
  <w:style w:type="paragraph" w:customStyle="1" w:styleId="Default">
    <w:name w:val="Default"/>
    <w:rsid w:val="00295C55"/>
    <w:pPr>
      <w:autoSpaceDE w:val="0"/>
      <w:autoSpaceDN w:val="0"/>
      <w:adjustRightInd w:val="0"/>
    </w:pPr>
    <w:rPr>
      <w:rFonts w:ascii="Calibri" w:hAnsi="Calibri" w:cs="Calibri"/>
      <w:color w:val="000000"/>
    </w:rPr>
  </w:style>
  <w:style w:type="paragraph" w:styleId="NoSpacing">
    <w:name w:val="No Spacing"/>
    <w:uiPriority w:val="1"/>
    <w:qFormat/>
    <w:rsid w:val="00295C55"/>
    <w:pPr>
      <w:suppressAutoHyphens/>
    </w:pPr>
    <w:rPr>
      <w:lang w:eastAsia="ar-SA"/>
    </w:rPr>
  </w:style>
  <w:style w:type="character" w:customStyle="1" w:styleId="Heading1Char">
    <w:name w:val="Heading 1 Char"/>
    <w:basedOn w:val="DefaultParagraphFont"/>
    <w:link w:val="Heading1"/>
    <w:uiPriority w:val="9"/>
    <w:rsid w:val="00295C55"/>
    <w:rPr>
      <w:rFonts w:asciiTheme="majorHAnsi" w:eastAsiaTheme="majorEastAsia" w:hAnsiTheme="majorHAnsi" w:cstheme="majorBidi"/>
      <w:color w:val="2F5496" w:themeColor="accent1" w:themeShade="BF"/>
      <w:sz w:val="32"/>
      <w:szCs w:val="32"/>
      <w:lang w:val="en-US" w:eastAsia="ar-SA"/>
    </w:rPr>
  </w:style>
  <w:style w:type="character" w:customStyle="1" w:styleId="TitleChar">
    <w:name w:val="Title Char"/>
    <w:basedOn w:val="DefaultParagraphFont"/>
    <w:link w:val="Title"/>
    <w:uiPriority w:val="10"/>
    <w:rsid w:val="00295C55"/>
    <w:rPr>
      <w:rFonts w:asciiTheme="majorHAnsi" w:eastAsiaTheme="majorEastAsia" w:hAnsiTheme="majorHAnsi" w:cstheme="majorBidi"/>
      <w:spacing w:val="-10"/>
      <w:kern w:val="28"/>
      <w:sz w:val="56"/>
      <w:szCs w:val="56"/>
      <w:lang w:val="en-US" w:eastAsia="ar-SA"/>
    </w:rPr>
  </w:style>
  <w:style w:type="paragraph" w:customStyle="1" w:styleId="TableParagraph">
    <w:name w:val="Table Paragraph"/>
    <w:basedOn w:val="Normal"/>
    <w:uiPriority w:val="1"/>
    <w:qFormat/>
    <w:rsid w:val="00295C55"/>
    <w:pPr>
      <w:widowControl w:val="0"/>
      <w:autoSpaceDE w:val="0"/>
      <w:autoSpaceDN w:val="0"/>
    </w:pPr>
    <w:rPr>
      <w:rFonts w:ascii="Liberation Sans Narrow" w:eastAsia="Liberation Sans Narrow" w:hAnsi="Liberation Sans Narrow" w:cs="Liberation Sans Narrow"/>
      <w:sz w:val="22"/>
      <w:szCs w:val="22"/>
    </w:rPr>
  </w:style>
  <w:style w:type="paragraph" w:styleId="ListParagraph">
    <w:name w:val="List Paragraph"/>
    <w:basedOn w:val="Normal"/>
    <w:link w:val="ListParagraphChar"/>
    <w:uiPriority w:val="34"/>
    <w:qFormat/>
    <w:rsid w:val="00371C71"/>
    <w:pPr>
      <w:ind w:left="720"/>
      <w:contextualSpacing/>
    </w:pPr>
  </w:style>
  <w:style w:type="table" w:styleId="TableGrid">
    <w:name w:val="Table Grid"/>
    <w:basedOn w:val="TableNormal"/>
    <w:uiPriority w:val="39"/>
    <w:rsid w:val="00371C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C230C0"/>
    <w:rPr>
      <w:rFonts w:ascii="Times New Roman" w:eastAsia="Times New Roman" w:hAnsi="Times New Roman" w:cs="Times New Roman"/>
      <w:sz w:val="24"/>
      <w:szCs w:val="24"/>
      <w:lang w:val="en-US" w:eastAsia="ar-SA"/>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paragraph" w:styleId="NormalWeb">
    <w:name w:val="Normal (Web)"/>
    <w:basedOn w:val="Normal"/>
    <w:uiPriority w:val="99"/>
    <w:semiHidden/>
    <w:unhideWhenUsed/>
    <w:rsid w:val="00E400A5"/>
    <w:pPr>
      <w:spacing w:before="100" w:beforeAutospacing="1" w:after="100" w:afterAutospacing="1"/>
    </w:pPr>
    <w:rPr>
      <w:lang w:val="en-PH" w:eastAsia="en-PH"/>
    </w:r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link w:val="SubtitleChar"/>
    <w:uiPriority w:val="11"/>
    <w:qFormat/>
    <w:pPr>
      <w:keepNext/>
      <w:spacing w:before="240" w:after="120"/>
      <w:jc w:val="center"/>
    </w:pPr>
    <w:rPr>
      <w:rFonts w:ascii="Arial" w:eastAsia="Arial" w:hAnsi="Arial" w:cs="Arial"/>
      <w:i/>
      <w:iCs/>
      <w:sz w:val="28"/>
      <w:szCs w:val="28"/>
    </w:r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Cq2LM/F7ZxaKXK23R+4lT94rQg==">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1211</Words>
  <Characters>6909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 Erasga</dc:creator>
  <cp:lastModifiedBy>Joey</cp:lastModifiedBy>
  <cp:revision>2</cp:revision>
  <dcterms:created xsi:type="dcterms:W3CDTF">2026-06-11T03:29:00Z</dcterms:created>
  <dcterms:modified xsi:type="dcterms:W3CDTF">2026-06-11T03:29:00Z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907bf526-5472-4d28-9955-6e07c0d8d2e2</vt:lpwstr>
  </property>
</Properties>
</file>