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pPr>
      <w:r w:rsidDel="00000000" w:rsidR="00000000" w:rsidRPr="00000000">
        <w:rPr>
          <w:rtl w:val="0"/>
        </w:rPr>
      </w:r>
    </w:p>
    <w:p w:rsidR="00000000" w:rsidDel="00000000" w:rsidP="00000000" w:rsidRDefault="00000000" w:rsidRPr="00000000" w14:paraId="00000002">
      <w:pPr>
        <w:spacing w:line="240" w:lineRule="auto"/>
        <w:jc w:val="left"/>
        <w:rPr/>
      </w:pPr>
      <w:r w:rsidDel="00000000" w:rsidR="00000000" w:rsidRPr="00000000">
        <w:rPr>
          <w:rtl w:val="0"/>
        </w:rPr>
      </w:r>
    </w:p>
    <w:p w:rsidR="00000000" w:rsidDel="00000000" w:rsidP="00000000" w:rsidRDefault="00000000" w:rsidRPr="00000000" w14:paraId="00000003">
      <w:pPr>
        <w:spacing w:line="240" w:lineRule="auto"/>
        <w:jc w:val="center"/>
        <w:rPr>
          <w:b w:val="1"/>
        </w:rPr>
      </w:pPr>
      <w:r w:rsidDel="00000000" w:rsidR="00000000" w:rsidRPr="00000000">
        <w:rPr>
          <w:b w:val="1"/>
          <w:rtl w:val="0"/>
        </w:rPr>
        <w:t xml:space="preserve">Brief Information about Agusan Marsh Wildlife Sanctuary</w:t>
      </w:r>
    </w:p>
    <w:p w:rsidR="00000000" w:rsidDel="00000000" w:rsidP="00000000" w:rsidRDefault="00000000" w:rsidRPr="00000000" w14:paraId="00000004">
      <w:pPr>
        <w:spacing w:line="240" w:lineRule="auto"/>
        <w:jc w:val="left"/>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The </w:t>
      </w:r>
      <w:r w:rsidDel="00000000" w:rsidR="00000000" w:rsidRPr="00000000">
        <w:rPr>
          <w:b w:val="1"/>
          <w:rtl w:val="0"/>
        </w:rPr>
        <w:t xml:space="preserve">Agusan Marsh Wildlife Sanctuary (AMWS) </w:t>
      </w:r>
      <w:r w:rsidDel="00000000" w:rsidR="00000000" w:rsidRPr="00000000">
        <w:rPr>
          <w:rtl w:val="0"/>
        </w:rPr>
        <w:t xml:space="preserve">is the most ecologically sensitive area within the Agusan River Basin which serves as a sanctuary of unique wildlife species both the aquatic and terrestrial flora and fauna, thus considered as one of the significant wetlands in the Philippines owing to its diversified habitat. It lies within the territorial areas of the municipalities of Talacogon, San Francisco, Rosario, Bunawan, Loreto, Lapaz and a small part of Veruela, all in the province of Agusan del Sur.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Site concerns and restoration efforts include -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3"/>
        </w:numPr>
        <w:spacing w:line="276" w:lineRule="auto"/>
        <w:ind w:left="1440" w:hanging="360"/>
        <w:jc w:val="both"/>
      </w:pPr>
      <w:r w:rsidDel="00000000" w:rsidR="00000000" w:rsidRPr="00000000">
        <w:rPr>
          <w:rtl w:val="0"/>
        </w:rPr>
        <w:t xml:space="preserve">Wetlands and peatlands facing degradation through the threat of land conversion and peat fires.</w:t>
      </w:r>
    </w:p>
    <w:p w:rsidR="00000000" w:rsidDel="00000000" w:rsidP="00000000" w:rsidRDefault="00000000" w:rsidRPr="00000000" w14:paraId="0000000A">
      <w:pPr>
        <w:numPr>
          <w:ilvl w:val="0"/>
          <w:numId w:val="13"/>
        </w:numPr>
        <w:spacing w:line="276" w:lineRule="auto"/>
        <w:ind w:left="1440" w:hanging="360"/>
        <w:jc w:val="both"/>
      </w:pPr>
      <w:r w:rsidDel="00000000" w:rsidR="00000000" w:rsidRPr="00000000">
        <w:rPr>
          <w:rtl w:val="0"/>
        </w:rPr>
        <w:t xml:space="preserve">Degraded and eroded areas, leading to vegetation loss, where creeks and streams towards the lakes are made shallow and are blocked by invasive species such as Water Hyacinth and Cabbage</w:t>
      </w:r>
    </w:p>
    <w:p w:rsidR="00000000" w:rsidDel="00000000" w:rsidP="00000000" w:rsidRDefault="00000000" w:rsidRPr="00000000" w14:paraId="0000000B">
      <w:pPr>
        <w:numPr>
          <w:ilvl w:val="0"/>
          <w:numId w:val="13"/>
        </w:numPr>
        <w:spacing w:line="276" w:lineRule="auto"/>
        <w:ind w:left="1440" w:hanging="360"/>
        <w:jc w:val="both"/>
      </w:pPr>
      <w:r w:rsidDel="00000000" w:rsidR="00000000" w:rsidRPr="00000000">
        <w:rPr>
          <w:rtl w:val="0"/>
        </w:rPr>
        <w:t xml:space="preserve">Lakes, streams, ponds, and rivers within AMWS are infested with invasive species such as water hyacinth, water cabbage, and janitor fish. These have clogged the waterways and important lake systems, halting the fishing activities of the community inside the marsh.</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The consultant may communicate and interact with the following stakeholders -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numPr>
          <w:ilvl w:val="0"/>
          <w:numId w:val="3"/>
        </w:numPr>
        <w:spacing w:line="276" w:lineRule="auto"/>
        <w:ind w:left="720" w:hanging="360"/>
        <w:jc w:val="both"/>
      </w:pPr>
      <w:r w:rsidDel="00000000" w:rsidR="00000000" w:rsidRPr="00000000">
        <w:rPr>
          <w:rtl w:val="0"/>
        </w:rPr>
        <w:t xml:space="preserve">The PAMB of the AMWS</w:t>
      </w:r>
    </w:p>
    <w:p w:rsidR="00000000" w:rsidDel="00000000" w:rsidP="00000000" w:rsidRDefault="00000000" w:rsidRPr="00000000" w14:paraId="00000010">
      <w:pPr>
        <w:numPr>
          <w:ilvl w:val="0"/>
          <w:numId w:val="3"/>
        </w:numPr>
        <w:spacing w:line="276" w:lineRule="auto"/>
        <w:ind w:left="720" w:hanging="360"/>
        <w:jc w:val="both"/>
      </w:pPr>
      <w:r w:rsidDel="00000000" w:rsidR="00000000" w:rsidRPr="00000000">
        <w:rPr>
          <w:rtl w:val="0"/>
        </w:rPr>
        <w:t xml:space="preserve">The local government of Agusan del Sur</w:t>
      </w:r>
    </w:p>
    <w:p w:rsidR="00000000" w:rsidDel="00000000" w:rsidP="00000000" w:rsidRDefault="00000000" w:rsidRPr="00000000" w14:paraId="00000011">
      <w:pPr>
        <w:numPr>
          <w:ilvl w:val="0"/>
          <w:numId w:val="3"/>
        </w:numPr>
        <w:spacing w:line="276" w:lineRule="auto"/>
        <w:ind w:left="720" w:hanging="360"/>
        <w:jc w:val="both"/>
      </w:pPr>
      <w:r w:rsidDel="00000000" w:rsidR="00000000" w:rsidRPr="00000000">
        <w:rPr>
          <w:rtl w:val="0"/>
        </w:rPr>
        <w:t xml:space="preserve">The Protected Area Management Office of the AMWS</w:t>
      </w:r>
    </w:p>
    <w:p w:rsidR="00000000" w:rsidDel="00000000" w:rsidP="00000000" w:rsidRDefault="00000000" w:rsidRPr="00000000" w14:paraId="00000012">
      <w:pPr>
        <w:numPr>
          <w:ilvl w:val="0"/>
          <w:numId w:val="3"/>
        </w:numPr>
        <w:spacing w:line="276" w:lineRule="auto"/>
        <w:ind w:left="720" w:hanging="360"/>
        <w:jc w:val="both"/>
      </w:pPr>
      <w:r w:rsidDel="00000000" w:rsidR="00000000" w:rsidRPr="00000000">
        <w:rPr>
          <w:rtl w:val="0"/>
        </w:rPr>
        <w:t xml:space="preserve">Department of Trade and Industry of Agusan del Sur</w:t>
      </w:r>
    </w:p>
    <w:p w:rsidR="00000000" w:rsidDel="00000000" w:rsidP="00000000" w:rsidRDefault="00000000" w:rsidRPr="00000000" w14:paraId="00000013">
      <w:pPr>
        <w:numPr>
          <w:ilvl w:val="0"/>
          <w:numId w:val="3"/>
        </w:numPr>
        <w:spacing w:line="276" w:lineRule="auto"/>
        <w:ind w:left="720" w:hanging="360"/>
        <w:jc w:val="both"/>
      </w:pPr>
      <w:r w:rsidDel="00000000" w:rsidR="00000000" w:rsidRPr="00000000">
        <w:rPr>
          <w:rtl w:val="0"/>
        </w:rPr>
        <w:t xml:space="preserve">Department of Social Welfare and Development of Agusan del Sur</w:t>
      </w:r>
    </w:p>
    <w:p w:rsidR="00000000" w:rsidDel="00000000" w:rsidP="00000000" w:rsidRDefault="00000000" w:rsidRPr="00000000" w14:paraId="00000014">
      <w:pPr>
        <w:numPr>
          <w:ilvl w:val="0"/>
          <w:numId w:val="3"/>
        </w:numPr>
        <w:spacing w:line="276" w:lineRule="auto"/>
        <w:ind w:left="720" w:hanging="360"/>
        <w:jc w:val="both"/>
      </w:pPr>
      <w:r w:rsidDel="00000000" w:rsidR="00000000" w:rsidRPr="00000000">
        <w:rPr>
          <w:rtl w:val="0"/>
        </w:rPr>
        <w:t xml:space="preserve">The provincial and regional offices of the DENR</w:t>
      </w:r>
    </w:p>
    <w:p w:rsidR="00000000" w:rsidDel="00000000" w:rsidP="00000000" w:rsidRDefault="00000000" w:rsidRPr="00000000" w14:paraId="00000015">
      <w:pPr>
        <w:numPr>
          <w:ilvl w:val="0"/>
          <w:numId w:val="3"/>
        </w:numPr>
        <w:spacing w:line="276" w:lineRule="auto"/>
        <w:ind w:left="720" w:hanging="360"/>
        <w:jc w:val="both"/>
      </w:pPr>
      <w:r w:rsidDel="00000000" w:rsidR="00000000" w:rsidRPr="00000000">
        <w:rPr>
          <w:rtl w:val="0"/>
        </w:rPr>
        <w:t xml:space="preserve">The BMB</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They may provide key information, assistance, and guidance in the activities or information needed by the consultant for outcome 3.</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*Some online references:</w:t>
      </w:r>
    </w:p>
    <w:p w:rsidR="00000000" w:rsidDel="00000000" w:rsidP="00000000" w:rsidRDefault="00000000" w:rsidRPr="00000000" w14:paraId="0000001A">
      <w:pPr>
        <w:numPr>
          <w:ilvl w:val="0"/>
          <w:numId w:val="11"/>
        </w:numPr>
        <w:spacing w:line="276" w:lineRule="auto"/>
        <w:ind w:left="720" w:hanging="360"/>
        <w:jc w:val="both"/>
        <w:rPr>
          <w:u w:val="none"/>
        </w:rPr>
      </w:pPr>
      <w:hyperlink r:id="rId7">
        <w:r w:rsidDel="00000000" w:rsidR="00000000" w:rsidRPr="00000000">
          <w:rPr>
            <w:color w:val="1155cc"/>
            <w:u w:val="single"/>
            <w:rtl w:val="0"/>
          </w:rPr>
          <w:t xml:space="preserve">https://asean.chm-cbd.net/agusan-marsh-wildlife-sanctuary</w:t>
        </w:r>
      </w:hyperlink>
      <w:r w:rsidDel="00000000" w:rsidR="00000000" w:rsidRPr="00000000">
        <w:rPr>
          <w:rtl w:val="0"/>
        </w:rPr>
      </w:r>
    </w:p>
    <w:p w:rsidR="00000000" w:rsidDel="00000000" w:rsidP="00000000" w:rsidRDefault="00000000" w:rsidRPr="00000000" w14:paraId="0000001B">
      <w:pPr>
        <w:numPr>
          <w:ilvl w:val="0"/>
          <w:numId w:val="11"/>
        </w:numPr>
        <w:spacing w:line="276" w:lineRule="auto"/>
        <w:ind w:left="720" w:hanging="360"/>
        <w:jc w:val="both"/>
        <w:rPr>
          <w:u w:val="none"/>
        </w:rPr>
      </w:pPr>
      <w:hyperlink r:id="rId8">
        <w:r w:rsidDel="00000000" w:rsidR="00000000" w:rsidRPr="00000000">
          <w:rPr>
            <w:color w:val="1155cc"/>
            <w:u w:val="single"/>
            <w:rtl w:val="0"/>
          </w:rPr>
          <w:t xml:space="preserve">https://datazone.birdlife.org/site/factsheet/agusan-marsh</w:t>
        </w:r>
      </w:hyperlink>
      <w:r w:rsidDel="00000000" w:rsidR="00000000" w:rsidRPr="00000000">
        <w:rPr>
          <w:rtl w:val="0"/>
        </w:rPr>
      </w:r>
    </w:p>
    <w:p w:rsidR="00000000" w:rsidDel="00000000" w:rsidP="00000000" w:rsidRDefault="00000000" w:rsidRPr="00000000" w14:paraId="0000001C">
      <w:pPr>
        <w:numPr>
          <w:ilvl w:val="0"/>
          <w:numId w:val="11"/>
        </w:numPr>
        <w:spacing w:line="276" w:lineRule="auto"/>
        <w:ind w:left="720" w:hanging="360"/>
        <w:jc w:val="both"/>
        <w:rPr>
          <w:u w:val="none"/>
        </w:rPr>
      </w:pPr>
      <w:hyperlink r:id="rId9">
        <w:r w:rsidDel="00000000" w:rsidR="00000000" w:rsidRPr="00000000">
          <w:rPr>
            <w:color w:val="1155cc"/>
            <w:u w:val="single"/>
            <w:rtl w:val="0"/>
          </w:rPr>
          <w:t xml:space="preserve">https://whc.unesco.org/en/tentativelists/6716/</w:t>
        </w:r>
      </w:hyperlink>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-930111</wp:posOffset>
            </wp:positionH>
            <wp:positionV relativeFrom="paragraph">
              <wp:posOffset>273737</wp:posOffset>
            </wp:positionV>
            <wp:extent cx="7594600" cy="1384300"/>
            <wp:effectExtent b="0" l="0" r="0" t="0"/>
            <wp:wrapTopAndBottom distB="114300" distT="114300"/>
            <wp:docPr id="9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7594600" cy="1384300"/>
                    </a:xfrm>
                    <a:prstGeom prst="rect"/>
                    <a:ln/>
                  </pic:spPr>
                </pic:pic>
              </a:graphicData>
            </a:graphic>
          </wp:anchor>
        </w:drawing>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40" w:lineRule="auto"/>
        <w:jc w:val="left"/>
        <w:rPr/>
      </w:pPr>
      <w:r w:rsidDel="00000000" w:rsidR="00000000" w:rsidRPr="00000000">
        <w:rPr>
          <w:rtl w:val="0"/>
        </w:rPr>
      </w:r>
    </w:p>
    <w:p w:rsidR="00000000" w:rsidDel="00000000" w:rsidP="00000000" w:rsidRDefault="00000000" w:rsidRPr="00000000" w14:paraId="00000022">
      <w:pPr>
        <w:spacing w:line="240" w:lineRule="auto"/>
        <w:jc w:val="center"/>
        <w:rPr>
          <w:b w:val="1"/>
        </w:rPr>
      </w:pPr>
      <w:r w:rsidDel="00000000" w:rsidR="00000000" w:rsidRPr="00000000">
        <w:rPr>
          <w:b w:val="1"/>
          <w:rtl w:val="0"/>
        </w:rPr>
        <w:t xml:space="preserve">Scope of the Technical Proposal</w:t>
      </w:r>
    </w:p>
    <w:p w:rsidR="00000000" w:rsidDel="00000000" w:rsidP="00000000" w:rsidRDefault="00000000" w:rsidRPr="00000000" w14:paraId="00000023">
      <w:pPr>
        <w:spacing w:line="240" w:lineRule="auto"/>
        <w:jc w:val="left"/>
        <w:rPr>
          <w:b w:val="1"/>
        </w:rPr>
      </w:pPr>
      <w:r w:rsidDel="00000000" w:rsidR="00000000" w:rsidRPr="00000000">
        <w:rPr>
          <w:rtl w:val="0"/>
        </w:rPr>
      </w:r>
    </w:p>
    <w:p w:rsidR="00000000" w:rsidDel="00000000" w:rsidP="00000000" w:rsidRDefault="00000000" w:rsidRPr="00000000" w14:paraId="00000024">
      <w:pPr>
        <w:numPr>
          <w:ilvl w:val="0"/>
          <w:numId w:val="2"/>
        </w:numPr>
        <w:spacing w:after="0" w:afterAutospacing="0" w:before="240" w:line="240" w:lineRule="auto"/>
        <w:ind w:left="720" w:hanging="360"/>
        <w:jc w:val="both"/>
        <w:rPr/>
      </w:pPr>
      <w:r w:rsidDel="00000000" w:rsidR="00000000" w:rsidRPr="00000000">
        <w:rPr>
          <w:rtl w:val="0"/>
        </w:rPr>
        <w:t xml:space="preserve">A detailed critical analysis and the Consultant's interpretation of the ToR. The Consultant is encouraged to present critical comments and suggestions on the ToR, if any, especially if they relate to envisaged Project results.</w:t>
      </w:r>
      <w:r w:rsidDel="00000000" w:rsidR="00000000" w:rsidRPr="00000000">
        <w:rPr>
          <w:rtl w:val="0"/>
        </w:rPr>
      </w:r>
    </w:p>
    <w:p w:rsidR="00000000" w:rsidDel="00000000" w:rsidP="00000000" w:rsidRDefault="00000000" w:rsidRPr="00000000" w14:paraId="00000025">
      <w:pPr>
        <w:numPr>
          <w:ilvl w:val="0"/>
          <w:numId w:val="2"/>
        </w:numPr>
        <w:spacing w:after="0" w:afterAutospacing="0" w:before="0" w:beforeAutospacing="0" w:line="240" w:lineRule="auto"/>
        <w:ind w:left="720" w:hanging="360"/>
        <w:jc w:val="both"/>
        <w:rPr/>
      </w:pPr>
      <w:r w:rsidDel="00000000" w:rsidR="00000000" w:rsidRPr="00000000">
        <w:rPr>
          <w:rtl w:val="0"/>
        </w:rPr>
        <w:t xml:space="preserve">Demonstrate understanding of ACB’s mandate and project objectives.</w:t>
      </w:r>
    </w:p>
    <w:p w:rsidR="00000000" w:rsidDel="00000000" w:rsidP="00000000" w:rsidRDefault="00000000" w:rsidRPr="00000000" w14:paraId="00000026">
      <w:pPr>
        <w:numPr>
          <w:ilvl w:val="0"/>
          <w:numId w:val="2"/>
        </w:numPr>
        <w:spacing w:after="240" w:before="0" w:beforeAutospacing="0" w:line="240" w:lineRule="auto"/>
        <w:ind w:left="720" w:hanging="360"/>
        <w:jc w:val="both"/>
        <w:rPr/>
      </w:pPr>
      <w:r w:rsidDel="00000000" w:rsidR="00000000" w:rsidRPr="00000000">
        <w:rPr>
          <w:rtl w:val="0"/>
        </w:rPr>
        <w:t xml:space="preserve">Briefly discuss the importance of establishing Social and Environmental Safeguards and conducting feasibility study and value chain analysis in biodiversity-based projects.</w:t>
      </w:r>
    </w:p>
    <w:p w:rsidR="00000000" w:rsidDel="00000000" w:rsidP="00000000" w:rsidRDefault="00000000" w:rsidRPr="00000000" w14:paraId="00000027">
      <w:pPr>
        <w:spacing w:after="240" w:before="240" w:line="240" w:lineRule="auto"/>
        <w:jc w:val="both"/>
        <w:rPr>
          <w:b w:val="1"/>
        </w:rPr>
      </w:pPr>
      <w:r w:rsidDel="00000000" w:rsidR="00000000" w:rsidRPr="00000000">
        <w:rPr>
          <w:b w:val="1"/>
          <w:rtl w:val="0"/>
        </w:rPr>
        <w:t xml:space="preserve">PROPOSED APPROACH, METHODOLOGY AND WORK PROGRAMME</w:t>
      </w:r>
    </w:p>
    <w:p w:rsidR="00000000" w:rsidDel="00000000" w:rsidP="00000000" w:rsidRDefault="00000000" w:rsidRPr="00000000" w14:paraId="00000028">
      <w:pPr>
        <w:numPr>
          <w:ilvl w:val="0"/>
          <w:numId w:val="12"/>
        </w:numPr>
        <w:spacing w:after="0" w:afterAutospacing="0" w:before="240" w:line="240" w:lineRule="auto"/>
        <w:ind w:left="720" w:hanging="360"/>
        <w:jc w:val="both"/>
        <w:rPr/>
      </w:pPr>
      <w:r w:rsidDel="00000000" w:rsidR="00000000" w:rsidRPr="00000000">
        <w:rPr>
          <w:rtl w:val="0"/>
        </w:rPr>
        <w:t xml:space="preserve">Provide a brief discussion of the proposed approach in achieving the objectives.</w:t>
      </w:r>
      <w:r w:rsidDel="00000000" w:rsidR="00000000" w:rsidRPr="00000000">
        <w:rPr>
          <w:rtl w:val="0"/>
        </w:rPr>
      </w:r>
    </w:p>
    <w:p w:rsidR="00000000" w:rsidDel="00000000" w:rsidP="00000000" w:rsidRDefault="00000000" w:rsidRPr="00000000" w14:paraId="00000029">
      <w:pPr>
        <w:numPr>
          <w:ilvl w:val="0"/>
          <w:numId w:val="1"/>
        </w:numPr>
        <w:spacing w:after="0" w:afterAutospacing="0" w:before="0" w:beforeAutospacing="0" w:line="240" w:lineRule="auto"/>
        <w:ind w:left="720" w:hanging="360"/>
        <w:rPr/>
      </w:pPr>
      <w:r w:rsidDel="00000000" w:rsidR="00000000" w:rsidRPr="00000000">
        <w:rPr>
          <w:rtl w:val="0"/>
        </w:rPr>
        <w:t xml:space="preserve">How to analyze project modality and stakeholder dynamics.</w:t>
      </w:r>
    </w:p>
    <w:p w:rsidR="00000000" w:rsidDel="00000000" w:rsidP="00000000" w:rsidRDefault="00000000" w:rsidRPr="00000000" w14:paraId="0000002A">
      <w:pPr>
        <w:numPr>
          <w:ilvl w:val="0"/>
          <w:numId w:val="1"/>
        </w:numPr>
        <w:spacing w:after="0" w:afterAutospacing="0" w:before="0" w:beforeAutospacing="0" w:line="240" w:lineRule="auto"/>
        <w:ind w:left="720" w:hanging="360"/>
        <w:rPr/>
      </w:pPr>
      <w:r w:rsidDel="00000000" w:rsidR="00000000" w:rsidRPr="00000000">
        <w:rPr>
          <w:rtl w:val="0"/>
        </w:rPr>
        <w:t xml:space="preserve">Approach or method for reviewing national laws, international standards, and ACB policies.</w:t>
      </w:r>
    </w:p>
    <w:p w:rsidR="00000000" w:rsidDel="00000000" w:rsidP="00000000" w:rsidRDefault="00000000" w:rsidRPr="00000000" w14:paraId="0000002B">
      <w:pPr>
        <w:numPr>
          <w:ilvl w:val="1"/>
          <w:numId w:val="1"/>
        </w:numPr>
        <w:spacing w:after="0" w:afterAutospacing="0" w:line="240" w:lineRule="auto"/>
        <w:ind w:left="1440" w:hanging="360"/>
        <w:rPr/>
      </w:pPr>
      <w:r w:rsidDel="00000000" w:rsidR="00000000" w:rsidRPr="00000000">
        <w:rPr>
          <w:rtl w:val="0"/>
        </w:rPr>
        <w:t xml:space="preserve">Approach in conducting consultations in relevant stakeholders for both SES and FS.</w:t>
      </w:r>
    </w:p>
    <w:p w:rsidR="00000000" w:rsidDel="00000000" w:rsidP="00000000" w:rsidRDefault="00000000" w:rsidRPr="00000000" w14:paraId="0000002C">
      <w:pPr>
        <w:numPr>
          <w:ilvl w:val="0"/>
          <w:numId w:val="1"/>
        </w:numPr>
        <w:spacing w:after="0" w:afterAutospacing="0" w:line="240" w:lineRule="auto"/>
        <w:ind w:left="720" w:hanging="360"/>
        <w:rPr>
          <w:u w:val="none"/>
        </w:rPr>
      </w:pPr>
      <w:r w:rsidDel="00000000" w:rsidR="00000000" w:rsidRPr="00000000">
        <w:rPr>
          <w:rtl w:val="0"/>
        </w:rPr>
        <w:t xml:space="preserve">How gaps and overlaps will be identified and addressed.</w:t>
      </w:r>
    </w:p>
    <w:p w:rsidR="00000000" w:rsidDel="00000000" w:rsidP="00000000" w:rsidRDefault="00000000" w:rsidRPr="00000000" w14:paraId="0000002D">
      <w:pPr>
        <w:numPr>
          <w:ilvl w:val="0"/>
          <w:numId w:val="1"/>
        </w:numPr>
        <w:spacing w:after="0" w:afterAutospacing="0" w:line="240" w:lineRule="auto"/>
        <w:ind w:left="720" w:hanging="360"/>
        <w:rPr/>
      </w:pPr>
      <w:r w:rsidDel="00000000" w:rsidR="00000000" w:rsidRPr="00000000">
        <w:rPr>
          <w:rtl w:val="0"/>
        </w:rPr>
        <w:t xml:space="preserve">Anticipated risks in fieldwork, stakeholder participation, and data availability.</w:t>
      </w:r>
    </w:p>
    <w:p w:rsidR="00000000" w:rsidDel="00000000" w:rsidP="00000000" w:rsidRDefault="00000000" w:rsidRPr="00000000" w14:paraId="0000002E">
      <w:pPr>
        <w:numPr>
          <w:ilvl w:val="1"/>
          <w:numId w:val="1"/>
        </w:numPr>
        <w:spacing w:after="0" w:afterAutospacing="0" w:line="240" w:lineRule="auto"/>
        <w:ind w:left="1440" w:hanging="360"/>
        <w:rPr/>
      </w:pPr>
      <w:r w:rsidDel="00000000" w:rsidR="00000000" w:rsidRPr="00000000">
        <w:rPr>
          <w:rtl w:val="0"/>
        </w:rPr>
        <w:t xml:space="preserve">Provide mitigation strategies</w:t>
      </w:r>
    </w:p>
    <w:p w:rsidR="00000000" w:rsidDel="00000000" w:rsidP="00000000" w:rsidRDefault="00000000" w:rsidRPr="00000000" w14:paraId="0000002F">
      <w:pPr>
        <w:numPr>
          <w:ilvl w:val="0"/>
          <w:numId w:val="1"/>
        </w:numPr>
        <w:spacing w:after="240" w:line="240" w:lineRule="auto"/>
        <w:ind w:left="720" w:hanging="360"/>
        <w:rPr/>
      </w:pPr>
      <w:r w:rsidDel="00000000" w:rsidR="00000000" w:rsidRPr="00000000">
        <w:rPr>
          <w:rtl w:val="0"/>
        </w:rPr>
        <w:t xml:space="preserve">Strategies to ensure ACB and other stakeholders can apply the project outcomes beyond the consultancy.</w:t>
      </w:r>
    </w:p>
    <w:p w:rsidR="00000000" w:rsidDel="00000000" w:rsidP="00000000" w:rsidRDefault="00000000" w:rsidRPr="00000000" w14:paraId="00000030">
      <w:pPr>
        <w:spacing w:after="240" w:before="240" w:line="240" w:lineRule="auto"/>
        <w:jc w:val="both"/>
        <w:rPr>
          <w:b w:val="1"/>
        </w:rPr>
      </w:pPr>
      <w:r w:rsidDel="00000000" w:rsidR="00000000" w:rsidRPr="00000000">
        <w:rPr>
          <w:b w:val="1"/>
          <w:rtl w:val="0"/>
        </w:rPr>
        <w:t xml:space="preserve">Outline how you will deliver each set of tasks:</w:t>
      </w:r>
    </w:p>
    <w:p w:rsidR="00000000" w:rsidDel="00000000" w:rsidP="00000000" w:rsidRDefault="00000000" w:rsidRPr="00000000" w14:paraId="00000031">
      <w:pPr>
        <w:numPr>
          <w:ilvl w:val="0"/>
          <w:numId w:val="1"/>
        </w:numPr>
        <w:spacing w:after="0" w:afterAutospacing="0" w:before="240" w:line="240" w:lineRule="auto"/>
        <w:ind w:left="720" w:hanging="360"/>
        <w:rPr>
          <w:b w:val="1"/>
        </w:rPr>
      </w:pPr>
      <w:r w:rsidDel="00000000" w:rsidR="00000000" w:rsidRPr="00000000">
        <w:rPr>
          <w:b w:val="1"/>
          <w:rtl w:val="0"/>
        </w:rPr>
        <w:t xml:space="preserve">Social &amp; Environmental Safeguards (SES)</w:t>
      </w:r>
    </w:p>
    <w:p w:rsidR="00000000" w:rsidDel="00000000" w:rsidP="00000000" w:rsidRDefault="00000000" w:rsidRPr="00000000" w14:paraId="00000032">
      <w:pPr>
        <w:numPr>
          <w:ilvl w:val="1"/>
          <w:numId w:val="1"/>
        </w:numPr>
        <w:spacing w:after="0" w:afterAutospacing="0" w:before="0" w:beforeAutospacing="0" w:line="240" w:lineRule="auto"/>
        <w:ind w:left="1440" w:hanging="360"/>
        <w:rPr/>
      </w:pPr>
      <w:r w:rsidDel="00000000" w:rsidR="00000000" w:rsidRPr="00000000">
        <w:rPr>
          <w:rtl w:val="0"/>
        </w:rPr>
        <w:t xml:space="preserve">Proposed Content of the report</w:t>
      </w:r>
    </w:p>
    <w:p w:rsidR="00000000" w:rsidDel="00000000" w:rsidP="00000000" w:rsidRDefault="00000000" w:rsidRPr="00000000" w14:paraId="00000033">
      <w:pPr>
        <w:numPr>
          <w:ilvl w:val="1"/>
          <w:numId w:val="1"/>
        </w:numPr>
        <w:spacing w:after="0" w:afterAutospacing="0" w:before="0" w:beforeAutospacing="0" w:line="240" w:lineRule="auto"/>
        <w:ind w:left="1440" w:hanging="360"/>
        <w:rPr/>
      </w:pPr>
      <w:r w:rsidDel="00000000" w:rsidR="00000000" w:rsidRPr="00000000">
        <w:rPr>
          <w:rtl w:val="0"/>
        </w:rPr>
        <w:t xml:space="preserve">Identification and selection of relevant SES standards.</w:t>
      </w:r>
    </w:p>
    <w:p w:rsidR="00000000" w:rsidDel="00000000" w:rsidP="00000000" w:rsidRDefault="00000000" w:rsidRPr="00000000" w14:paraId="00000034">
      <w:pPr>
        <w:numPr>
          <w:ilvl w:val="1"/>
          <w:numId w:val="1"/>
        </w:numPr>
        <w:spacing w:after="0" w:afterAutospacing="0" w:before="0" w:beforeAutospacing="0" w:line="240" w:lineRule="auto"/>
        <w:ind w:left="1440" w:hanging="360"/>
        <w:rPr/>
      </w:pPr>
      <w:r w:rsidDel="00000000" w:rsidR="00000000" w:rsidRPr="00000000">
        <w:rPr>
          <w:rtl w:val="0"/>
        </w:rPr>
        <w:t xml:space="preserve">Proposed methods and tools for SES assessment (e.g., ESIA, risk registers).</w:t>
      </w:r>
    </w:p>
    <w:p w:rsidR="00000000" w:rsidDel="00000000" w:rsidP="00000000" w:rsidRDefault="00000000" w:rsidRPr="00000000" w14:paraId="00000035">
      <w:pPr>
        <w:numPr>
          <w:ilvl w:val="1"/>
          <w:numId w:val="1"/>
        </w:numPr>
        <w:spacing w:after="0" w:afterAutospacing="0" w:before="0" w:beforeAutospacing="0" w:line="240" w:lineRule="auto"/>
        <w:ind w:left="1440" w:hanging="360"/>
        <w:rPr/>
      </w:pPr>
      <w:r w:rsidDel="00000000" w:rsidR="00000000" w:rsidRPr="00000000">
        <w:rPr>
          <w:rtl w:val="0"/>
        </w:rPr>
        <w:t xml:space="preserve">Plan for site visits, stakeholder consultations, and workshops.</w:t>
      </w:r>
    </w:p>
    <w:p w:rsidR="00000000" w:rsidDel="00000000" w:rsidP="00000000" w:rsidRDefault="00000000" w:rsidRPr="00000000" w14:paraId="00000036">
      <w:pPr>
        <w:numPr>
          <w:ilvl w:val="1"/>
          <w:numId w:val="1"/>
        </w:numPr>
        <w:spacing w:after="0" w:afterAutospacing="0" w:before="0" w:beforeAutospacing="0" w:line="240" w:lineRule="auto"/>
        <w:ind w:left="1440" w:hanging="360"/>
        <w:rPr/>
      </w:pPr>
      <w:r w:rsidDel="00000000" w:rsidR="00000000" w:rsidRPr="00000000">
        <w:rPr>
          <w:rtl w:val="0"/>
        </w:rPr>
        <w:t xml:space="preserve">Framework for risk and impact assessment (including mitigation strategies).</w:t>
      </w:r>
    </w:p>
    <w:p w:rsidR="00000000" w:rsidDel="00000000" w:rsidP="00000000" w:rsidRDefault="00000000" w:rsidRPr="00000000" w14:paraId="00000037">
      <w:pPr>
        <w:numPr>
          <w:ilvl w:val="1"/>
          <w:numId w:val="1"/>
        </w:numPr>
        <w:spacing w:after="0" w:afterAutospacing="0" w:before="0" w:beforeAutospacing="0" w:line="240" w:lineRule="auto"/>
        <w:ind w:left="1440" w:hanging="360"/>
        <w:rPr/>
      </w:pPr>
      <w:r w:rsidDel="00000000" w:rsidR="00000000" w:rsidRPr="00000000">
        <w:rPr>
          <w:rtl w:val="0"/>
        </w:rPr>
        <w:t xml:space="preserve">Design and content of the SES toolkit.</w:t>
      </w:r>
    </w:p>
    <w:p w:rsidR="00000000" w:rsidDel="00000000" w:rsidP="00000000" w:rsidRDefault="00000000" w:rsidRPr="00000000" w14:paraId="00000038">
      <w:pPr>
        <w:numPr>
          <w:ilvl w:val="1"/>
          <w:numId w:val="1"/>
        </w:numPr>
        <w:spacing w:after="0" w:afterAutospacing="0" w:before="0" w:beforeAutospacing="0" w:line="240" w:lineRule="auto"/>
        <w:ind w:left="1440" w:hanging="360"/>
        <w:rPr/>
      </w:pPr>
      <w:r w:rsidDel="00000000" w:rsidR="00000000" w:rsidRPr="00000000">
        <w:rPr>
          <w:rtl w:val="0"/>
        </w:rPr>
        <w:t xml:space="preserve">Capacity-building plan for ACB staff and IPLCs.</w:t>
      </w:r>
    </w:p>
    <w:p w:rsidR="00000000" w:rsidDel="00000000" w:rsidP="00000000" w:rsidRDefault="00000000" w:rsidRPr="00000000" w14:paraId="00000039">
      <w:pPr>
        <w:numPr>
          <w:ilvl w:val="0"/>
          <w:numId w:val="1"/>
        </w:numPr>
        <w:spacing w:after="0" w:afterAutospacing="0" w:before="0" w:beforeAutospacing="0" w:line="240" w:lineRule="auto"/>
        <w:ind w:left="720" w:hanging="360"/>
        <w:rPr>
          <w:b w:val="1"/>
        </w:rPr>
      </w:pPr>
      <w:r w:rsidDel="00000000" w:rsidR="00000000" w:rsidRPr="00000000">
        <w:rPr>
          <w:b w:val="1"/>
          <w:rtl w:val="0"/>
        </w:rPr>
        <w:t xml:space="preserve">Feasibility &amp; Market Study</w:t>
      </w:r>
    </w:p>
    <w:p w:rsidR="00000000" w:rsidDel="00000000" w:rsidP="00000000" w:rsidRDefault="00000000" w:rsidRPr="00000000" w14:paraId="0000003A">
      <w:pPr>
        <w:numPr>
          <w:ilvl w:val="1"/>
          <w:numId w:val="1"/>
        </w:numPr>
        <w:spacing w:after="0" w:afterAutospacing="0" w:before="0" w:beforeAutospacing="0" w:line="240" w:lineRule="auto"/>
        <w:ind w:left="1440" w:hanging="360"/>
        <w:rPr/>
      </w:pPr>
      <w:r w:rsidDel="00000000" w:rsidR="00000000" w:rsidRPr="00000000">
        <w:rPr>
          <w:rtl w:val="0"/>
        </w:rPr>
        <w:t xml:space="preserve">Proposed Content of the report</w:t>
      </w:r>
    </w:p>
    <w:p w:rsidR="00000000" w:rsidDel="00000000" w:rsidP="00000000" w:rsidRDefault="00000000" w:rsidRPr="00000000" w14:paraId="0000003B">
      <w:pPr>
        <w:numPr>
          <w:ilvl w:val="1"/>
          <w:numId w:val="1"/>
        </w:numPr>
        <w:spacing w:after="0" w:afterAutospacing="0" w:before="0" w:beforeAutospacing="0" w:line="240" w:lineRule="auto"/>
        <w:ind w:left="1440" w:hanging="360"/>
        <w:rPr/>
      </w:pPr>
      <w:r w:rsidDel="00000000" w:rsidR="00000000" w:rsidRPr="00000000">
        <w:rPr>
          <w:rtl w:val="0"/>
        </w:rPr>
        <w:t xml:space="preserve">Proposed framework for feasibility and value chain analysis.</w:t>
      </w:r>
    </w:p>
    <w:p w:rsidR="00000000" w:rsidDel="00000000" w:rsidP="00000000" w:rsidRDefault="00000000" w:rsidRPr="00000000" w14:paraId="0000003C">
      <w:pPr>
        <w:numPr>
          <w:ilvl w:val="1"/>
          <w:numId w:val="1"/>
        </w:numPr>
        <w:spacing w:after="0" w:afterAutospacing="0" w:before="0" w:beforeAutospacing="0" w:line="240" w:lineRule="auto"/>
        <w:ind w:left="1440" w:hanging="360"/>
        <w:rPr/>
      </w:pPr>
      <w:r w:rsidDel="00000000" w:rsidR="00000000" w:rsidRPr="00000000">
        <w:rPr>
          <w:rtl w:val="0"/>
        </w:rPr>
        <w:t xml:space="preserve">Method for governance and institutional assessment.</w:t>
      </w:r>
    </w:p>
    <w:p w:rsidR="00000000" w:rsidDel="00000000" w:rsidP="00000000" w:rsidRDefault="00000000" w:rsidRPr="00000000" w14:paraId="0000003D">
      <w:pPr>
        <w:numPr>
          <w:ilvl w:val="1"/>
          <w:numId w:val="1"/>
        </w:numPr>
        <w:spacing w:after="0" w:afterAutospacing="0" w:before="0" w:beforeAutospacing="0" w:line="240" w:lineRule="auto"/>
        <w:ind w:left="1440" w:hanging="360"/>
        <w:rPr/>
      </w:pPr>
      <w:r w:rsidDel="00000000" w:rsidR="00000000" w:rsidRPr="00000000">
        <w:rPr>
          <w:rtl w:val="0"/>
        </w:rPr>
        <w:t xml:space="preserve">Data collection plan (e.g., surveys, interviews, site visits).</w:t>
      </w:r>
    </w:p>
    <w:p w:rsidR="00000000" w:rsidDel="00000000" w:rsidP="00000000" w:rsidRDefault="00000000" w:rsidRPr="00000000" w14:paraId="0000003E">
      <w:pPr>
        <w:numPr>
          <w:ilvl w:val="2"/>
          <w:numId w:val="1"/>
        </w:numPr>
        <w:spacing w:after="0" w:afterAutospacing="0" w:before="0" w:beforeAutospacing="0" w:line="240" w:lineRule="auto"/>
        <w:ind w:left="2160" w:hanging="360"/>
        <w:rPr/>
      </w:pPr>
      <w:r w:rsidDel="00000000" w:rsidR="00000000" w:rsidRPr="00000000">
        <w:rPr>
          <w:rtl w:val="0"/>
        </w:rPr>
        <w:t xml:space="preserve">Provide a set of questionnaires to be used in assessing the area.</w:t>
      </w:r>
    </w:p>
    <w:p w:rsidR="00000000" w:rsidDel="00000000" w:rsidP="00000000" w:rsidRDefault="00000000" w:rsidRPr="00000000" w14:paraId="0000003F">
      <w:pPr>
        <w:numPr>
          <w:ilvl w:val="1"/>
          <w:numId w:val="1"/>
        </w:numPr>
        <w:spacing w:after="0" w:afterAutospacing="0" w:before="0" w:beforeAutospacing="0" w:line="240" w:lineRule="auto"/>
        <w:ind w:left="1440" w:hanging="360"/>
        <w:rPr/>
      </w:pPr>
      <w:r w:rsidDel="00000000" w:rsidR="00000000" w:rsidRPr="00000000">
        <w:rPr>
          <w:rtl w:val="0"/>
        </w:rPr>
        <w:t xml:space="preserve">Approach to market and private sector engagement.</w:t>
      </w:r>
    </w:p>
    <w:p w:rsidR="00000000" w:rsidDel="00000000" w:rsidP="00000000" w:rsidRDefault="00000000" w:rsidRPr="00000000" w14:paraId="00000040">
      <w:pPr>
        <w:numPr>
          <w:ilvl w:val="1"/>
          <w:numId w:val="1"/>
        </w:numPr>
        <w:spacing w:after="0" w:afterAutospacing="0" w:line="240" w:lineRule="auto"/>
        <w:ind w:left="1440" w:hanging="360"/>
        <w:rPr/>
      </w:pPr>
      <w:r w:rsidDel="00000000" w:rsidR="00000000" w:rsidRPr="00000000">
        <w:rPr>
          <w:rtl w:val="0"/>
        </w:rPr>
        <w:t xml:space="preserve">Method for mapping enterprise value chains and assessing enabling conditions. </w:t>
      </w:r>
    </w:p>
    <w:p w:rsidR="00000000" w:rsidDel="00000000" w:rsidP="00000000" w:rsidRDefault="00000000" w:rsidRPr="00000000" w14:paraId="00000041">
      <w:pPr>
        <w:numPr>
          <w:ilvl w:val="0"/>
          <w:numId w:val="1"/>
        </w:numPr>
        <w:spacing w:after="0" w:afterAutospacing="0" w:before="0" w:beforeAutospacing="0" w:line="240" w:lineRule="auto"/>
        <w:ind w:left="720" w:hanging="360"/>
        <w:jc w:val="both"/>
      </w:pPr>
      <w:r w:rsidDel="00000000" w:rsidR="00000000" w:rsidRPr="00000000">
        <w:rPr>
          <w:rtl w:val="0"/>
        </w:rPr>
        <w:t xml:space="preserve">Summary of consultant’s qualifications and expertise.</w:t>
      </w:r>
    </w:p>
    <w:p w:rsidR="00000000" w:rsidDel="00000000" w:rsidP="00000000" w:rsidRDefault="00000000" w:rsidRPr="00000000" w14:paraId="00000042">
      <w:pPr>
        <w:numPr>
          <w:ilvl w:val="1"/>
          <w:numId w:val="1"/>
        </w:numPr>
        <w:spacing w:after="0" w:afterAutospacing="0" w:before="0" w:beforeAutospacing="0" w:line="240" w:lineRule="auto"/>
        <w:ind w:left="1440" w:hanging="360"/>
        <w:jc w:val="both"/>
      </w:pPr>
      <w:r w:rsidDel="00000000" w:rsidR="00000000" w:rsidRPr="00000000">
        <w:rPr>
          <w:rtl w:val="0"/>
        </w:rPr>
        <w:t xml:space="preserve">Emphasis on experience with:</w:t>
      </w:r>
    </w:p>
    <w:p w:rsidR="00000000" w:rsidDel="00000000" w:rsidP="00000000" w:rsidRDefault="00000000" w:rsidRPr="00000000" w14:paraId="00000043">
      <w:pPr>
        <w:numPr>
          <w:ilvl w:val="2"/>
          <w:numId w:val="1"/>
        </w:numPr>
        <w:spacing w:after="0" w:afterAutospacing="0" w:line="240" w:lineRule="auto"/>
        <w:ind w:left="2160" w:hanging="360"/>
        <w:jc w:val="both"/>
      </w:pPr>
      <w:r w:rsidDel="00000000" w:rsidR="00000000" w:rsidRPr="00000000">
        <w:rPr>
          <w:rtl w:val="0"/>
        </w:rPr>
        <w:t xml:space="preserve">Climate-smart practices and nature-based solutions</w:t>
      </w:r>
    </w:p>
    <w:p w:rsidR="00000000" w:rsidDel="00000000" w:rsidP="00000000" w:rsidRDefault="00000000" w:rsidRPr="00000000" w14:paraId="00000044">
      <w:pPr>
        <w:numPr>
          <w:ilvl w:val="2"/>
          <w:numId w:val="1"/>
        </w:numPr>
        <w:spacing w:after="0" w:afterAutospacing="0" w:before="0" w:beforeAutospacing="0" w:line="240" w:lineRule="auto"/>
        <w:ind w:left="2160" w:hanging="360"/>
        <w:jc w:val="both"/>
      </w:pPr>
      <w:r w:rsidDel="00000000" w:rsidR="00000000" w:rsidRPr="00000000">
        <w:rPr>
          <w:rtl w:val="0"/>
        </w:rPr>
        <w:t xml:space="preserve">Environmental and social safeguards,</w:t>
      </w:r>
    </w:p>
    <w:p w:rsidR="00000000" w:rsidDel="00000000" w:rsidP="00000000" w:rsidRDefault="00000000" w:rsidRPr="00000000" w14:paraId="00000045">
      <w:pPr>
        <w:numPr>
          <w:ilvl w:val="2"/>
          <w:numId w:val="1"/>
        </w:numPr>
        <w:spacing w:after="0" w:afterAutospacing="0" w:before="0" w:beforeAutospacing="0" w:line="240" w:lineRule="auto"/>
        <w:ind w:left="2160" w:hanging="360"/>
        <w:jc w:val="both"/>
      </w:pPr>
      <w:r w:rsidDel="00000000" w:rsidR="00000000" w:rsidRPr="00000000">
        <w:rPr>
          <w:rtl w:val="0"/>
        </w:rPr>
        <w:t xml:space="preserve">Policy and regulatory reviews.</w:t>
      </w:r>
    </w:p>
    <w:p w:rsidR="00000000" w:rsidDel="00000000" w:rsidP="00000000" w:rsidRDefault="00000000" w:rsidRPr="00000000" w14:paraId="00000046">
      <w:pPr>
        <w:numPr>
          <w:ilvl w:val="2"/>
          <w:numId w:val="1"/>
        </w:numPr>
        <w:spacing w:after="0" w:afterAutospacing="0" w:before="0" w:beforeAutospacing="0" w:line="240" w:lineRule="auto"/>
        <w:ind w:left="2160" w:hanging="360"/>
        <w:jc w:val="both"/>
      </w:pPr>
      <w:r w:rsidDel="00000000" w:rsidR="00000000" w:rsidRPr="00000000">
        <w:rPr>
          <w:rtl w:val="0"/>
        </w:rPr>
        <w:t xml:space="preserve">Feasibility and value chain analysis</w:t>
      </w:r>
    </w:p>
    <w:p w:rsidR="00000000" w:rsidDel="00000000" w:rsidP="00000000" w:rsidRDefault="00000000" w:rsidRPr="00000000" w14:paraId="00000047">
      <w:pPr>
        <w:numPr>
          <w:ilvl w:val="0"/>
          <w:numId w:val="1"/>
        </w:numPr>
        <w:spacing w:after="0" w:afterAutospacing="0" w:line="240" w:lineRule="auto"/>
        <w:ind w:left="720" w:hanging="360"/>
      </w:pPr>
      <w:r w:rsidDel="00000000" w:rsidR="00000000" w:rsidRPr="00000000">
        <w:rPr>
          <w:rtl w:val="0"/>
        </w:rPr>
        <w:t xml:space="preserve">A detailed work plan of the activities to be conducted (inception, data gathering, analysis, reporting, capacity building).</w:t>
      </w:r>
    </w:p>
    <w:p w:rsidR="00000000" w:rsidDel="00000000" w:rsidP="00000000" w:rsidRDefault="00000000" w:rsidRPr="00000000" w14:paraId="00000048">
      <w:pPr>
        <w:numPr>
          <w:ilvl w:val="1"/>
          <w:numId w:val="1"/>
        </w:numPr>
        <w:spacing w:after="0" w:afterAutospacing="0" w:line="240" w:lineRule="auto"/>
        <w:ind w:left="1440" w:hanging="360"/>
      </w:pPr>
      <w:r w:rsidDel="00000000" w:rsidR="00000000" w:rsidRPr="00000000">
        <w:rPr>
          <w:rtl w:val="0"/>
        </w:rPr>
        <w:t xml:space="preserve">Timeline aligned with deliverables </w:t>
      </w:r>
    </w:p>
    <w:p w:rsidR="00000000" w:rsidDel="00000000" w:rsidP="00000000" w:rsidRDefault="00000000" w:rsidRPr="00000000" w14:paraId="00000049">
      <w:pPr>
        <w:numPr>
          <w:ilvl w:val="1"/>
          <w:numId w:val="1"/>
        </w:numPr>
        <w:spacing w:after="240" w:line="240" w:lineRule="auto"/>
        <w:ind w:left="1440" w:hanging="360"/>
      </w:pPr>
      <w:r w:rsidDel="00000000" w:rsidR="00000000" w:rsidRPr="00000000">
        <w:rPr>
          <w:rtl w:val="0"/>
        </w:rPr>
        <w:t xml:space="preserve">Schedule for consultations, workshops, and submission of draft/final outputs.</w:t>
      </w:r>
    </w:p>
    <w:p w:rsidR="00000000" w:rsidDel="00000000" w:rsidP="00000000" w:rsidRDefault="00000000" w:rsidRPr="00000000" w14:paraId="0000004A">
      <w:pPr>
        <w:spacing w:after="240" w:line="240" w:lineRule="auto"/>
        <w:rPr/>
      </w:pPr>
      <w:r w:rsidDel="00000000" w:rsidR="00000000" w:rsidRPr="00000000">
        <w:rPr>
          <w:rtl w:val="0"/>
        </w:rPr>
      </w:r>
    </w:p>
    <w:p w:rsidR="00000000" w:rsidDel="00000000" w:rsidP="00000000" w:rsidRDefault="00000000" w:rsidRPr="00000000" w14:paraId="0000004B">
      <w:pPr>
        <w:spacing w:after="240" w:line="240" w:lineRule="auto"/>
        <w:jc w:val="center"/>
        <w:rPr>
          <w:b w:val="1"/>
        </w:rPr>
      </w:pPr>
      <w:r w:rsidDel="00000000" w:rsidR="00000000" w:rsidRPr="00000000">
        <w:rPr>
          <w:b w:val="1"/>
          <w:rtl w:val="0"/>
        </w:rPr>
        <w:t xml:space="preserve">Scope of Financial Proposal</w:t>
      </w:r>
    </w:p>
    <w:sdt>
      <w:sdtPr>
        <w:lock w:val="contentLocked"/>
        <w:id w:val="-786632093"/>
        <w:tag w:val="goog_rdk_0"/>
      </w:sdtPr>
      <w:sdtContent>
        <w:tbl>
          <w:tblPr>
            <w:tblStyle w:val="Table1"/>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2025"/>
            <w:gridCol w:w="1830"/>
            <w:gridCol w:w="1920"/>
            <w:tblGridChange w:id="0">
              <w:tblGrid>
                <w:gridCol w:w="3165"/>
                <w:gridCol w:w="2025"/>
                <w:gridCol w:w="1830"/>
                <w:gridCol w:w="1920"/>
              </w:tblGrid>
            </w:tblGridChange>
          </w:tblGrid>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Description</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Unit</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Unit Cost</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Total in GBP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Consultant’s Cost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Travel Costs: Flights, Local transport, Allowances , Accommodation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Support, miscellaneous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TOTAL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sdtContent>
    </w:sdt>
    <w:p w:rsidR="00000000" w:rsidDel="00000000" w:rsidP="00000000" w:rsidRDefault="00000000" w:rsidRPr="00000000" w14:paraId="00000070">
      <w:pPr>
        <w:spacing w:after="240" w:line="240" w:lineRule="auto"/>
        <w:jc w:val="left"/>
        <w:rPr>
          <w:b w:val="1"/>
        </w:rPr>
      </w:pPr>
      <w:r w:rsidDel="00000000" w:rsidR="00000000" w:rsidRPr="00000000">
        <w:rPr>
          <w:rtl w:val="0"/>
        </w:rPr>
      </w:r>
    </w:p>
    <w:p w:rsidR="00000000" w:rsidDel="00000000" w:rsidP="00000000" w:rsidRDefault="00000000" w:rsidRPr="00000000" w14:paraId="00000071">
      <w:pPr>
        <w:spacing w:after="240" w:line="240" w:lineRule="auto"/>
        <w:jc w:val="center"/>
        <w:rPr/>
      </w:pPr>
      <w:r w:rsidDel="00000000" w:rsidR="00000000" w:rsidRPr="00000000">
        <w:rPr>
          <w:rtl w:val="0"/>
        </w:rPr>
      </w:r>
    </w:p>
    <w:p w:rsidR="00000000" w:rsidDel="00000000" w:rsidP="00000000" w:rsidRDefault="00000000" w:rsidRPr="00000000" w14:paraId="00000072">
      <w:pPr>
        <w:spacing w:after="240" w:line="240" w:lineRule="auto"/>
        <w:jc w:val="center"/>
        <w:rPr/>
      </w:pPr>
      <w:r w:rsidDel="00000000" w:rsidR="00000000" w:rsidRPr="00000000">
        <w:rPr>
          <w:rtl w:val="0"/>
        </w:rPr>
      </w:r>
    </w:p>
    <w:p w:rsidR="00000000" w:rsidDel="00000000" w:rsidP="00000000" w:rsidRDefault="00000000" w:rsidRPr="00000000" w14:paraId="00000073">
      <w:pPr>
        <w:spacing w:after="240" w:line="240" w:lineRule="auto"/>
        <w:jc w:val="center"/>
        <w:rPr/>
      </w:pPr>
      <w:r w:rsidDel="00000000" w:rsidR="00000000" w:rsidRPr="00000000">
        <w:rPr>
          <w:rtl w:val="0"/>
        </w:rPr>
      </w:r>
    </w:p>
    <w:p w:rsidR="00000000" w:rsidDel="00000000" w:rsidP="00000000" w:rsidRDefault="00000000" w:rsidRPr="00000000" w14:paraId="00000074">
      <w:pPr>
        <w:spacing w:after="240" w:line="240" w:lineRule="auto"/>
        <w:jc w:val="center"/>
        <w:rPr/>
      </w:pPr>
      <w:r w:rsidDel="00000000" w:rsidR="00000000" w:rsidRPr="00000000">
        <w:rPr>
          <w:rtl w:val="0"/>
        </w:rPr>
      </w:r>
    </w:p>
    <w:p w:rsidR="00000000" w:rsidDel="00000000" w:rsidP="00000000" w:rsidRDefault="00000000" w:rsidRPr="00000000" w14:paraId="00000075">
      <w:pPr>
        <w:spacing w:after="240" w:line="240" w:lineRule="auto"/>
        <w:jc w:val="center"/>
        <w:rPr/>
      </w:pPr>
      <w:r w:rsidDel="00000000" w:rsidR="00000000" w:rsidRPr="00000000">
        <w:rPr>
          <w:rtl w:val="0"/>
        </w:rPr>
      </w:r>
    </w:p>
    <w:p w:rsidR="00000000" w:rsidDel="00000000" w:rsidP="00000000" w:rsidRDefault="00000000" w:rsidRPr="00000000" w14:paraId="00000076">
      <w:pPr>
        <w:spacing w:after="240" w:line="240" w:lineRule="auto"/>
        <w:jc w:val="center"/>
        <w:rPr/>
      </w:pPr>
      <w:r w:rsidDel="00000000" w:rsidR="00000000" w:rsidRPr="00000000">
        <w:rPr>
          <w:rtl w:val="0"/>
        </w:rPr>
      </w:r>
    </w:p>
    <w:p w:rsidR="00000000" w:rsidDel="00000000" w:rsidP="00000000" w:rsidRDefault="00000000" w:rsidRPr="00000000" w14:paraId="00000077">
      <w:pPr>
        <w:spacing w:after="240" w:line="240" w:lineRule="auto"/>
        <w:jc w:val="center"/>
        <w:rPr/>
      </w:pPr>
      <w:r w:rsidDel="00000000" w:rsidR="00000000" w:rsidRPr="00000000">
        <w:rPr>
          <w:rtl w:val="0"/>
        </w:rPr>
      </w:r>
    </w:p>
    <w:p w:rsidR="00000000" w:rsidDel="00000000" w:rsidP="00000000" w:rsidRDefault="00000000" w:rsidRPr="00000000" w14:paraId="00000078">
      <w:pPr>
        <w:spacing w:after="240" w:line="240" w:lineRule="auto"/>
        <w:jc w:val="center"/>
        <w:rPr/>
      </w:pPr>
      <w:r w:rsidDel="00000000" w:rsidR="00000000" w:rsidRPr="00000000">
        <w:rPr>
          <w:rtl w:val="0"/>
        </w:rPr>
      </w:r>
    </w:p>
    <w:p w:rsidR="00000000" w:rsidDel="00000000" w:rsidP="00000000" w:rsidRDefault="00000000" w:rsidRPr="00000000" w14:paraId="00000079">
      <w:pPr>
        <w:spacing w:after="240" w:line="240" w:lineRule="auto"/>
        <w:jc w:val="center"/>
        <w:rPr/>
      </w:pPr>
      <w:r w:rsidDel="00000000" w:rsidR="00000000" w:rsidRPr="00000000">
        <w:rPr>
          <w:rtl w:val="0"/>
        </w:rPr>
      </w:r>
    </w:p>
    <w:p w:rsidR="00000000" w:rsidDel="00000000" w:rsidP="00000000" w:rsidRDefault="00000000" w:rsidRPr="00000000" w14:paraId="0000007A">
      <w:pPr>
        <w:spacing w:after="240" w:line="240" w:lineRule="auto"/>
        <w:jc w:val="center"/>
        <w:rPr/>
      </w:pPr>
      <w:r w:rsidDel="00000000" w:rsidR="00000000" w:rsidRPr="00000000">
        <w:rPr>
          <w:rtl w:val="0"/>
        </w:rPr>
      </w:r>
    </w:p>
    <w:p w:rsidR="00000000" w:rsidDel="00000000" w:rsidP="00000000" w:rsidRDefault="00000000" w:rsidRPr="00000000" w14:paraId="0000007B">
      <w:pPr>
        <w:spacing w:after="240" w:line="240" w:lineRule="auto"/>
        <w:jc w:val="center"/>
        <w:rPr/>
      </w:pPr>
      <w:r w:rsidDel="00000000" w:rsidR="00000000" w:rsidRPr="00000000">
        <w:rPr>
          <w:rtl w:val="0"/>
        </w:rPr>
      </w:r>
    </w:p>
    <w:p w:rsidR="00000000" w:rsidDel="00000000" w:rsidP="00000000" w:rsidRDefault="00000000" w:rsidRPr="00000000" w14:paraId="0000007C">
      <w:pPr>
        <w:spacing w:line="240" w:lineRule="auto"/>
        <w:jc w:val="center"/>
        <w:rPr/>
      </w:pPr>
      <w:r w:rsidDel="00000000" w:rsidR="00000000" w:rsidRPr="00000000">
        <w:rPr>
          <w:b w:val="1"/>
          <w:rtl w:val="0"/>
        </w:rPr>
        <w:t xml:space="preserve">Timeline of Activities</w:t>
      </w:r>
      <w:r w:rsidDel="00000000" w:rsidR="00000000" w:rsidRPr="00000000">
        <w:rPr>
          <w:rtl w:val="0"/>
        </w:rPr>
        <w:br w:type="textWrapping"/>
      </w:r>
      <w:r w:rsidDel="00000000" w:rsidR="00000000" w:rsidRPr="00000000">
        <w:rPr>
          <w:rtl w:val="0"/>
        </w:rPr>
      </w:r>
    </w:p>
    <w:tbl>
      <w:tblPr>
        <w:tblStyle w:val="Table2"/>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40.07874015748"/>
        <w:gridCol w:w="2585.433070866142"/>
        <w:tblGridChange w:id="0">
          <w:tblGrid>
            <w:gridCol w:w="6440.07874015748"/>
            <w:gridCol w:w="2585.433070866142"/>
          </w:tblGrid>
        </w:tblGridChange>
      </w:tblGrid>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Activity</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7E">
            <w:pPr>
              <w:widowControl w:val="0"/>
              <w:spacing w:line="276" w:lineRule="auto"/>
              <w:jc w:val="center"/>
              <w:rPr/>
            </w:pPr>
            <w:r w:rsidDel="00000000" w:rsidR="00000000" w:rsidRPr="00000000">
              <w:rPr>
                <w:b w:val="1"/>
                <w:rtl w:val="0"/>
              </w:rPr>
              <w:t xml:space="preserve">Target Date</w:t>
            </w: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93c47d" w:val="clear"/>
            <w:tcMar>
              <w:top w:w="0.0" w:type="dxa"/>
              <w:left w:w="40.0" w:type="dxa"/>
              <w:bottom w:w="0.0" w:type="dxa"/>
              <w:right w:w="40.0" w:type="dxa"/>
            </w:tcMar>
            <w:vAlign w:val="bottom"/>
          </w:tcPr>
          <w:p w:rsidR="00000000" w:rsidDel="00000000" w:rsidP="00000000" w:rsidRDefault="00000000" w:rsidRPr="00000000" w14:paraId="0000007F">
            <w:pPr>
              <w:widowControl w:val="0"/>
              <w:spacing w:line="276" w:lineRule="auto"/>
              <w:rPr/>
            </w:pPr>
            <w:r w:rsidDel="00000000" w:rsidR="00000000" w:rsidRPr="00000000">
              <w:rPr>
                <w:b w:val="1"/>
                <w:i w:val="1"/>
                <w:rtl w:val="0"/>
              </w:rPr>
              <w:t xml:space="preserve">OUTPUT 3.1</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93c47d" w:val="clear"/>
            <w:tcMar>
              <w:top w:w="0.0" w:type="dxa"/>
              <w:left w:w="40.0" w:type="dxa"/>
              <w:bottom w:w="0.0" w:type="dxa"/>
              <w:right w:w="40.0" w:type="dxa"/>
            </w:tcMar>
            <w:vAlign w:val="center"/>
          </w:tcPr>
          <w:p w:rsidR="00000000" w:rsidDel="00000000" w:rsidP="00000000" w:rsidRDefault="00000000" w:rsidRPr="00000000" w14:paraId="00000080">
            <w:pPr>
              <w:widowControl w:val="0"/>
              <w:spacing w:line="276" w:lineRule="auto"/>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d9ead3" w:val="clear"/>
            <w:tcMar>
              <w:top w:w="0.0" w:type="dxa"/>
              <w:left w:w="40.0" w:type="dxa"/>
              <w:bottom w:w="0.0" w:type="dxa"/>
              <w:right w:w="40.0" w:type="dxa"/>
            </w:tcMar>
            <w:vAlign w:val="bottom"/>
          </w:tcPr>
          <w:p w:rsidR="00000000" w:rsidDel="00000000" w:rsidP="00000000" w:rsidRDefault="00000000" w:rsidRPr="00000000" w14:paraId="00000081">
            <w:pPr>
              <w:widowControl w:val="0"/>
              <w:spacing w:line="276" w:lineRule="auto"/>
              <w:rPr/>
            </w:pPr>
            <w:r w:rsidDel="00000000" w:rsidR="00000000" w:rsidRPr="00000000">
              <w:rPr>
                <w:rtl w:val="0"/>
              </w:rPr>
              <w:t xml:space="preserve">FS/Market Study (including value chains analysis) and site visit</w:t>
            </w:r>
          </w:p>
        </w:tc>
        <w:tc>
          <w:tcPr>
            <w:vMerge w:val="restart"/>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center"/>
          </w:tcPr>
          <w:p w:rsidR="00000000" w:rsidDel="00000000" w:rsidP="00000000" w:rsidRDefault="00000000" w:rsidRPr="00000000" w14:paraId="00000082">
            <w:pPr>
              <w:widowControl w:val="0"/>
              <w:spacing w:line="276" w:lineRule="auto"/>
              <w:jc w:val="center"/>
              <w:rPr/>
            </w:pPr>
            <w:r w:rsidDel="00000000" w:rsidR="00000000" w:rsidRPr="00000000">
              <w:rPr>
                <w:rtl w:val="0"/>
              </w:rPr>
              <w:t xml:space="preserve">September to November 2025</w:t>
            </w:r>
          </w:p>
        </w:tc>
      </w:tr>
      <w:tr>
        <w:trPr>
          <w:cantSplit w:val="0"/>
          <w:trHeight w:val="82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3">
            <w:pPr>
              <w:widowControl w:val="0"/>
              <w:spacing w:line="276" w:lineRule="auto"/>
              <w:rPr/>
            </w:pPr>
            <w:r w:rsidDel="00000000" w:rsidR="00000000" w:rsidRPr="00000000">
              <w:rPr>
                <w:b w:val="1"/>
                <w:u w:val="single"/>
                <w:rtl w:val="0"/>
              </w:rPr>
              <w:t xml:space="preserve">Activity 3.1.4</w:t>
            </w:r>
            <w:r w:rsidDel="00000000" w:rsidR="00000000" w:rsidRPr="00000000">
              <w:rPr>
                <w:rtl w:val="0"/>
              </w:rPr>
              <w:t xml:space="preserve"> Feasibility study and market study including a value chains analysis for identifying potential climate-smart biodiversity-based activities, products and services in Maludam National Park (Malaysia) and Agusan Marsh Wildlife Sanctuary (Philippines)</w:t>
            </w:r>
          </w:p>
        </w:tc>
        <w:tc>
          <w:tcPr>
            <w:vMerge w:val="continue"/>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76" w:lineRule="auto"/>
              <w:rPr/>
            </w:pPr>
            <w:r w:rsidDel="00000000" w:rsidR="00000000" w:rsidRPr="00000000">
              <w:rPr>
                <w:rtl w:val="0"/>
              </w:rPr>
            </w:r>
          </w:p>
        </w:tc>
      </w:tr>
      <w:tr>
        <w:trPr>
          <w:cantSplit w:val="0"/>
          <w:trHeight w:val="82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85">
            <w:pPr>
              <w:widowControl w:val="0"/>
              <w:spacing w:line="276" w:lineRule="auto"/>
              <w:rPr/>
            </w:pPr>
            <w:r w:rsidDel="00000000" w:rsidR="00000000" w:rsidRPr="00000000">
              <w:rPr>
                <w:b w:val="1"/>
                <w:u w:val="single"/>
                <w:rtl w:val="0"/>
              </w:rPr>
              <w:t xml:space="preserve">Activity 3.1.5 </w:t>
            </w:r>
            <w:r w:rsidDel="00000000" w:rsidR="00000000" w:rsidRPr="00000000">
              <w:rPr>
                <w:rtl w:val="0"/>
              </w:rPr>
              <w:t xml:space="preserve">Carryout one local consultation workshop and site visit for the Feasibility study including a value chains analysis in Maludam National Park (Malaysia) and Agusan Marsh Wildlife Sanctuary (Philippines)</w:t>
            </w:r>
          </w:p>
        </w:tc>
        <w:tc>
          <w:tcPr>
            <w:vMerge w:val="continue"/>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76" w:lineRule="auto"/>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d9ead3" w:val="clear"/>
            <w:tcMar>
              <w:top w:w="0.0" w:type="dxa"/>
              <w:left w:w="40.0" w:type="dxa"/>
              <w:bottom w:w="0.0" w:type="dxa"/>
              <w:right w:w="40.0" w:type="dxa"/>
            </w:tcMar>
            <w:vAlign w:val="bottom"/>
          </w:tcPr>
          <w:p w:rsidR="00000000" w:rsidDel="00000000" w:rsidP="00000000" w:rsidRDefault="00000000" w:rsidRPr="00000000" w14:paraId="00000087">
            <w:pPr>
              <w:widowControl w:val="0"/>
              <w:spacing w:line="276" w:lineRule="auto"/>
              <w:rPr/>
            </w:pPr>
            <w:r w:rsidDel="00000000" w:rsidR="00000000" w:rsidRPr="00000000">
              <w:rPr>
                <w:rtl w:val="0"/>
              </w:rPr>
              <w:t xml:space="preserve">SES Assessment and site visit</w:t>
            </w:r>
          </w:p>
        </w:tc>
        <w:tc>
          <w:tcPr>
            <w:vMerge w:val="restart"/>
            <w:tcBorders>
              <w:top w:color="cccccc" w:space="0" w:sz="4" w:val="single"/>
              <w:left w:color="cccccc" w:space="0" w:sz="4" w:val="single"/>
              <w:bottom w:color="cccccc" w:space="0" w:sz="4" w:val="single"/>
              <w:right w:color="cccccc"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88">
            <w:pPr>
              <w:widowControl w:val="0"/>
              <w:spacing w:line="276" w:lineRule="auto"/>
              <w:jc w:val="center"/>
              <w:rPr/>
            </w:pPr>
            <w:r w:rsidDel="00000000" w:rsidR="00000000" w:rsidRPr="00000000">
              <w:rPr>
                <w:rtl w:val="0"/>
              </w:rPr>
              <w:t xml:space="preserve">October to December 2025</w:t>
            </w:r>
          </w:p>
        </w:tc>
      </w:tr>
      <w:tr>
        <w:trPr>
          <w:cantSplit w:val="0"/>
          <w:trHeight w:val="82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9">
            <w:pPr>
              <w:widowControl w:val="0"/>
              <w:spacing w:line="276" w:lineRule="auto"/>
              <w:rPr/>
            </w:pPr>
            <w:r w:rsidDel="00000000" w:rsidR="00000000" w:rsidRPr="00000000">
              <w:rPr>
                <w:b w:val="1"/>
                <w:u w:val="single"/>
                <w:rtl w:val="0"/>
              </w:rPr>
              <w:t xml:space="preserve">Activity 3.1.1 </w:t>
            </w:r>
            <w:r w:rsidDel="00000000" w:rsidR="00000000" w:rsidRPr="00000000">
              <w:rPr>
                <w:rtl w:val="0"/>
              </w:rPr>
              <w:t xml:space="preserve">Developing toolkits (2) for developing social and environmental safeguards (SES), which includes methodologies and guidance for policy advocacy and policy advocacy proposal for institutionalising SES</w:t>
            </w:r>
          </w:p>
        </w:tc>
        <w:tc>
          <w:tcPr>
            <w:vMerge w:val="continue"/>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76" w:lineRule="auto"/>
              <w:rPr/>
            </w:pPr>
            <w:r w:rsidDel="00000000" w:rsidR="00000000" w:rsidRPr="00000000">
              <w:rPr>
                <w:rtl w:val="0"/>
              </w:rPr>
            </w:r>
          </w:p>
        </w:tc>
      </w:tr>
      <w:tr>
        <w:trPr>
          <w:cantSplit w:val="0"/>
          <w:trHeight w:val="82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8B">
            <w:pPr>
              <w:widowControl w:val="0"/>
              <w:spacing w:line="276" w:lineRule="auto"/>
              <w:rPr/>
            </w:pPr>
            <w:r w:rsidDel="00000000" w:rsidR="00000000" w:rsidRPr="00000000">
              <w:rPr>
                <w:b w:val="1"/>
                <w:u w:val="single"/>
                <w:rtl w:val="0"/>
              </w:rPr>
              <w:t xml:space="preserve">Activity 3.1.3</w:t>
            </w:r>
            <w:r w:rsidDel="00000000" w:rsidR="00000000" w:rsidRPr="00000000">
              <w:rPr>
                <w:rtl w:val="0"/>
              </w:rPr>
              <w:t xml:space="preserve"> Site-based Workshop on developing advocacy plan for policy and management changes (Maludam and Agusan only), and development of appropriate access and benefit-sharing agreements that will also benefit livelihood projects for BBPs</w:t>
            </w:r>
          </w:p>
        </w:tc>
        <w:tc>
          <w:tcPr>
            <w:vMerge w:val="continue"/>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76" w:lineRule="auto"/>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d9ead3" w:val="clear"/>
            <w:tcMar>
              <w:top w:w="0.0" w:type="dxa"/>
              <w:left w:w="40.0" w:type="dxa"/>
              <w:bottom w:w="0.0" w:type="dxa"/>
              <w:right w:w="40.0" w:type="dxa"/>
            </w:tcMar>
            <w:vAlign w:val="bottom"/>
          </w:tcPr>
          <w:p w:rsidR="00000000" w:rsidDel="00000000" w:rsidP="00000000" w:rsidRDefault="00000000" w:rsidRPr="00000000" w14:paraId="0000008D">
            <w:pPr>
              <w:widowControl w:val="0"/>
              <w:spacing w:line="276" w:lineRule="auto"/>
              <w:rPr/>
            </w:pPr>
            <w:r w:rsidDel="00000000" w:rsidR="00000000" w:rsidRPr="00000000">
              <w:rPr>
                <w:rtl w:val="0"/>
              </w:rPr>
              <w:t xml:space="preserve">Cap Dev and National Workshop</w:t>
            </w:r>
          </w:p>
        </w:tc>
        <w:tc>
          <w:tcPr>
            <w:vMerge w:val="restart"/>
            <w:tcBorders>
              <w:top w:color="cccccc" w:space="0" w:sz="4" w:val="single"/>
              <w:left w:color="cccccc" w:space="0" w:sz="4" w:val="single"/>
              <w:bottom w:color="cccccc" w:space="0" w:sz="4" w:val="single"/>
              <w:right w:color="cccccc"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8E">
            <w:pPr>
              <w:widowControl w:val="0"/>
              <w:spacing w:line="276" w:lineRule="auto"/>
              <w:jc w:val="center"/>
              <w:rPr/>
            </w:pPr>
            <w:r w:rsidDel="00000000" w:rsidR="00000000" w:rsidRPr="00000000">
              <w:rPr>
                <w:rtl w:val="0"/>
              </w:rPr>
              <w:t xml:space="preserve">December 2025</w:t>
            </w:r>
          </w:p>
        </w:tc>
      </w:tr>
      <w:tr>
        <w:trPr>
          <w:cantSplit w:val="0"/>
          <w:trHeight w:val="82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8F">
            <w:pPr>
              <w:widowControl w:val="0"/>
              <w:spacing w:line="276" w:lineRule="auto"/>
              <w:rPr/>
            </w:pPr>
            <w:r w:rsidDel="00000000" w:rsidR="00000000" w:rsidRPr="00000000">
              <w:rPr>
                <w:b w:val="1"/>
                <w:u w:val="single"/>
                <w:rtl w:val="0"/>
              </w:rPr>
              <w:t xml:space="preserve">Activity 3.1.2</w:t>
            </w:r>
            <w:r w:rsidDel="00000000" w:rsidR="00000000" w:rsidRPr="00000000">
              <w:rPr>
                <w:rtl w:val="0"/>
              </w:rPr>
              <w:t xml:space="preserve"> National capacity-building workshop for development of social and environmental safeguards participated in by communities in identified sites and IPLCs - One each for Philippines and Malaysia</w:t>
            </w:r>
          </w:p>
        </w:tc>
        <w:tc>
          <w:tcPr>
            <w:vMerge w:val="continue"/>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76" w:lineRule="auto"/>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d9ead3" w:val="clear"/>
            <w:tcMar>
              <w:top w:w="0.0" w:type="dxa"/>
              <w:left w:w="40.0" w:type="dxa"/>
              <w:bottom w:w="0.0" w:type="dxa"/>
              <w:right w:w="40.0" w:type="dxa"/>
            </w:tcMar>
            <w:vAlign w:val="bottom"/>
          </w:tcPr>
          <w:p w:rsidR="00000000" w:rsidDel="00000000" w:rsidP="00000000" w:rsidRDefault="00000000" w:rsidRPr="00000000" w14:paraId="00000091">
            <w:pPr>
              <w:widowControl w:val="0"/>
              <w:spacing w:line="276" w:lineRule="auto"/>
              <w:rPr/>
            </w:pPr>
            <w:r w:rsidDel="00000000" w:rsidR="00000000" w:rsidRPr="00000000">
              <w:rPr>
                <w:rtl w:val="0"/>
              </w:rPr>
              <w:t xml:space="preserve">Submission of Final Completion Report</w:t>
            </w:r>
          </w:p>
        </w:tc>
        <w:tc>
          <w:tcPr>
            <w:tcBorders>
              <w:top w:color="cccccc" w:space="0" w:sz="4" w:val="single"/>
              <w:left w:color="cccccc" w:space="0" w:sz="4" w:val="single"/>
              <w:bottom w:color="cccccc" w:space="0" w:sz="4" w:val="single"/>
              <w:right w:color="cccccc"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92">
            <w:pPr>
              <w:widowControl w:val="0"/>
              <w:spacing w:line="276" w:lineRule="auto"/>
              <w:jc w:val="center"/>
              <w:rPr/>
            </w:pPr>
            <w:r w:rsidDel="00000000" w:rsidR="00000000" w:rsidRPr="00000000">
              <w:rPr>
                <w:rtl w:val="0"/>
              </w:rPr>
              <w:t xml:space="preserve">January 2026</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93">
            <w:pPr>
              <w:widowControl w:val="0"/>
              <w:spacing w:line="276" w:lineRule="auto"/>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94">
            <w:pPr>
              <w:widowControl w:val="0"/>
              <w:spacing w:line="276" w:lineRule="auto"/>
              <w:rPr/>
            </w:pPr>
            <w:r w:rsidDel="00000000" w:rsidR="00000000" w:rsidRPr="00000000">
              <w:rPr>
                <w:rtl w:val="0"/>
              </w:rPr>
            </w:r>
          </w:p>
        </w:tc>
      </w:tr>
    </w:tbl>
    <w:p w:rsidR="00000000" w:rsidDel="00000000" w:rsidP="00000000" w:rsidRDefault="00000000" w:rsidRPr="00000000" w14:paraId="00000095">
      <w:pPr>
        <w:spacing w:line="240" w:lineRule="auto"/>
        <w:jc w:val="left"/>
        <w:rPr/>
      </w:pPr>
      <w:r w:rsidDel="00000000" w:rsidR="00000000" w:rsidRPr="00000000">
        <w:rPr>
          <w:rtl w:val="0"/>
        </w:rPr>
      </w:r>
    </w:p>
    <w:p w:rsidR="00000000" w:rsidDel="00000000" w:rsidP="00000000" w:rsidRDefault="00000000" w:rsidRPr="00000000" w14:paraId="00000096">
      <w:pPr>
        <w:spacing w:line="240" w:lineRule="auto"/>
        <w:jc w:val="left"/>
        <w:rPr/>
      </w:pPr>
      <w:r w:rsidDel="00000000" w:rsidR="00000000" w:rsidRPr="00000000">
        <w:rPr>
          <w:rtl w:val="0"/>
        </w:rPr>
      </w:r>
    </w:p>
    <w:p w:rsidR="00000000" w:rsidDel="00000000" w:rsidP="00000000" w:rsidRDefault="00000000" w:rsidRPr="00000000" w14:paraId="00000097">
      <w:pPr>
        <w:spacing w:line="240" w:lineRule="auto"/>
        <w:jc w:val="left"/>
        <w:rPr/>
      </w:pPr>
      <w:r w:rsidDel="00000000" w:rsidR="00000000" w:rsidRPr="00000000">
        <w:rPr>
          <w:rtl w:val="0"/>
        </w:rPr>
      </w:r>
    </w:p>
    <w:p w:rsidR="00000000" w:rsidDel="00000000" w:rsidP="00000000" w:rsidRDefault="00000000" w:rsidRPr="00000000" w14:paraId="00000098">
      <w:pPr>
        <w:spacing w:line="240" w:lineRule="auto"/>
        <w:jc w:val="left"/>
        <w:rPr/>
      </w:pPr>
      <w:r w:rsidDel="00000000" w:rsidR="00000000" w:rsidRPr="00000000">
        <w:rPr>
          <w:rtl w:val="0"/>
        </w:rPr>
      </w:r>
    </w:p>
    <w:p w:rsidR="00000000" w:rsidDel="00000000" w:rsidP="00000000" w:rsidRDefault="00000000" w:rsidRPr="00000000" w14:paraId="00000099">
      <w:pPr>
        <w:spacing w:line="240" w:lineRule="auto"/>
        <w:jc w:val="left"/>
        <w:rPr/>
      </w:pPr>
      <w:r w:rsidDel="00000000" w:rsidR="00000000" w:rsidRPr="00000000">
        <w:rPr>
          <w:rtl w:val="0"/>
        </w:rPr>
      </w:r>
    </w:p>
    <w:p w:rsidR="00000000" w:rsidDel="00000000" w:rsidP="00000000" w:rsidRDefault="00000000" w:rsidRPr="00000000" w14:paraId="0000009A">
      <w:pPr>
        <w:spacing w:line="240" w:lineRule="auto"/>
        <w:jc w:val="left"/>
        <w:rPr/>
      </w:pPr>
      <w:r w:rsidDel="00000000" w:rsidR="00000000" w:rsidRPr="00000000">
        <w:rPr>
          <w:rtl w:val="0"/>
        </w:rPr>
      </w:r>
    </w:p>
    <w:p w:rsidR="00000000" w:rsidDel="00000000" w:rsidP="00000000" w:rsidRDefault="00000000" w:rsidRPr="00000000" w14:paraId="0000009B">
      <w:pPr>
        <w:spacing w:line="240" w:lineRule="auto"/>
        <w:jc w:val="left"/>
        <w:rPr/>
      </w:pPr>
      <w:r w:rsidDel="00000000" w:rsidR="00000000" w:rsidRPr="00000000">
        <w:rPr>
          <w:rtl w:val="0"/>
        </w:rPr>
      </w:r>
    </w:p>
    <w:p w:rsidR="00000000" w:rsidDel="00000000" w:rsidP="00000000" w:rsidRDefault="00000000" w:rsidRPr="00000000" w14:paraId="0000009C">
      <w:pPr>
        <w:spacing w:line="240" w:lineRule="auto"/>
        <w:jc w:val="left"/>
        <w:rPr/>
      </w:pPr>
      <w:r w:rsidDel="00000000" w:rsidR="00000000" w:rsidRPr="00000000">
        <w:rPr>
          <w:rtl w:val="0"/>
        </w:rPr>
      </w:r>
    </w:p>
    <w:p w:rsidR="00000000" w:rsidDel="00000000" w:rsidP="00000000" w:rsidRDefault="00000000" w:rsidRPr="00000000" w14:paraId="0000009D">
      <w:pPr>
        <w:spacing w:line="240" w:lineRule="auto"/>
        <w:jc w:val="left"/>
        <w:rPr/>
      </w:pPr>
      <w:r w:rsidDel="00000000" w:rsidR="00000000" w:rsidRPr="00000000">
        <w:rPr>
          <w:rtl w:val="0"/>
        </w:rPr>
      </w:r>
    </w:p>
    <w:p w:rsidR="00000000" w:rsidDel="00000000" w:rsidP="00000000" w:rsidRDefault="00000000" w:rsidRPr="00000000" w14:paraId="0000009E">
      <w:pPr>
        <w:spacing w:line="240" w:lineRule="auto"/>
        <w:jc w:val="left"/>
        <w:rPr/>
      </w:pPr>
      <w:r w:rsidDel="00000000" w:rsidR="00000000" w:rsidRPr="00000000">
        <w:rPr>
          <w:rtl w:val="0"/>
        </w:rPr>
      </w:r>
    </w:p>
    <w:p w:rsidR="00000000" w:rsidDel="00000000" w:rsidP="00000000" w:rsidRDefault="00000000" w:rsidRPr="00000000" w14:paraId="0000009F">
      <w:pPr>
        <w:spacing w:line="240" w:lineRule="auto"/>
        <w:jc w:val="left"/>
        <w:rPr/>
      </w:pPr>
      <w:r w:rsidDel="00000000" w:rsidR="00000000" w:rsidRPr="00000000">
        <w:rPr>
          <w:rtl w:val="0"/>
        </w:rPr>
      </w:r>
    </w:p>
    <w:p w:rsidR="00000000" w:rsidDel="00000000" w:rsidP="00000000" w:rsidRDefault="00000000" w:rsidRPr="00000000" w14:paraId="000000A0">
      <w:pPr>
        <w:spacing w:line="240" w:lineRule="auto"/>
        <w:jc w:val="left"/>
        <w:rPr/>
      </w:pPr>
      <w:r w:rsidDel="00000000" w:rsidR="00000000" w:rsidRPr="00000000">
        <w:rPr>
          <w:rtl w:val="0"/>
        </w:rPr>
      </w:r>
    </w:p>
    <w:p w:rsidR="00000000" w:rsidDel="00000000" w:rsidP="00000000" w:rsidRDefault="00000000" w:rsidRPr="00000000" w14:paraId="000000A1">
      <w:pPr>
        <w:spacing w:line="240" w:lineRule="auto"/>
        <w:jc w:val="left"/>
        <w:rPr/>
      </w:pPr>
      <w:r w:rsidDel="00000000" w:rsidR="00000000" w:rsidRPr="00000000">
        <w:rPr>
          <w:rtl w:val="0"/>
        </w:rPr>
      </w:r>
    </w:p>
    <w:p w:rsidR="00000000" w:rsidDel="00000000" w:rsidP="00000000" w:rsidRDefault="00000000" w:rsidRPr="00000000" w14:paraId="000000A2">
      <w:pPr>
        <w:spacing w:line="240" w:lineRule="auto"/>
        <w:jc w:val="left"/>
        <w:rPr/>
      </w:pPr>
      <w:r w:rsidDel="00000000" w:rsidR="00000000" w:rsidRPr="00000000">
        <w:rPr>
          <w:rtl w:val="0"/>
        </w:rPr>
      </w:r>
    </w:p>
    <w:p w:rsidR="00000000" w:rsidDel="00000000" w:rsidP="00000000" w:rsidRDefault="00000000" w:rsidRPr="00000000" w14:paraId="000000A3">
      <w:pPr>
        <w:spacing w:line="240" w:lineRule="auto"/>
        <w:jc w:val="left"/>
        <w:rPr/>
      </w:pPr>
      <w:r w:rsidDel="00000000" w:rsidR="00000000" w:rsidRPr="00000000">
        <w:rPr>
          <w:rtl w:val="0"/>
        </w:rPr>
      </w:r>
    </w:p>
    <w:p w:rsidR="00000000" w:rsidDel="00000000" w:rsidP="00000000" w:rsidRDefault="00000000" w:rsidRPr="00000000" w14:paraId="000000A4">
      <w:pPr>
        <w:spacing w:line="240" w:lineRule="auto"/>
        <w:jc w:val="left"/>
        <w:rPr/>
      </w:pPr>
      <w:r w:rsidDel="00000000" w:rsidR="00000000" w:rsidRPr="00000000">
        <w:rPr>
          <w:rtl w:val="0"/>
        </w:rPr>
      </w:r>
    </w:p>
    <w:p w:rsidR="00000000" w:rsidDel="00000000" w:rsidP="00000000" w:rsidRDefault="00000000" w:rsidRPr="00000000" w14:paraId="000000A5">
      <w:pPr>
        <w:spacing w:line="240" w:lineRule="auto"/>
        <w:jc w:val="center"/>
        <w:rPr/>
      </w:pPr>
      <w:r w:rsidDel="00000000" w:rsidR="00000000" w:rsidRPr="00000000">
        <w:rPr>
          <w:b w:val="1"/>
          <w:rtl w:val="0"/>
        </w:rPr>
        <w:t xml:space="preserve">TERMS OF REFERENCE</w:t>
      </w:r>
      <w:r w:rsidDel="00000000" w:rsidR="00000000" w:rsidRPr="00000000">
        <w:rPr>
          <w:rtl w:val="0"/>
        </w:rPr>
      </w:r>
    </w:p>
    <w:p w:rsidR="00000000" w:rsidDel="00000000" w:rsidP="00000000" w:rsidRDefault="00000000" w:rsidRPr="00000000" w14:paraId="000000A6">
      <w:pPr>
        <w:spacing w:line="240" w:lineRule="auto"/>
        <w:jc w:val="center"/>
        <w:rPr/>
      </w:pPr>
      <w:r w:rsidDel="00000000" w:rsidR="00000000" w:rsidRPr="00000000">
        <w:rPr>
          <w:rtl w:val="0"/>
        </w:rPr>
      </w:r>
    </w:p>
    <w:p w:rsidR="00000000" w:rsidDel="00000000" w:rsidP="00000000" w:rsidRDefault="00000000" w:rsidRPr="00000000" w14:paraId="000000A7">
      <w:pPr>
        <w:numPr>
          <w:ilvl w:val="0"/>
          <w:numId w:val="8"/>
        </w:numPr>
        <w:spacing w:line="240" w:lineRule="auto"/>
        <w:ind w:left="360" w:hanging="360"/>
        <w:rPr/>
      </w:pPr>
      <w:r w:rsidDel="00000000" w:rsidR="00000000" w:rsidRPr="00000000">
        <w:rPr>
          <w:b w:val="1"/>
          <w:rtl w:val="0"/>
        </w:rPr>
        <w:t xml:space="preserve">Background </w:t>
      </w:r>
      <w:r w:rsidDel="00000000" w:rsidR="00000000" w:rsidRPr="00000000">
        <w:rPr>
          <w:rtl w:val="0"/>
        </w:rPr>
      </w:r>
    </w:p>
    <w:p w:rsidR="00000000" w:rsidDel="00000000" w:rsidP="00000000" w:rsidRDefault="00000000" w:rsidRPr="00000000" w14:paraId="000000A8">
      <w:pPr>
        <w:spacing w:line="240" w:lineRule="auto"/>
        <w:ind w:left="720" w:firstLine="0"/>
        <w:rPr/>
      </w:pPr>
      <w:r w:rsidDel="00000000" w:rsidR="00000000" w:rsidRPr="00000000">
        <w:rPr>
          <w:rtl w:val="0"/>
        </w:rPr>
      </w:r>
    </w:p>
    <w:p w:rsidR="00000000" w:rsidDel="00000000" w:rsidP="00000000" w:rsidRDefault="00000000" w:rsidRPr="00000000" w14:paraId="000000A9">
      <w:pPr>
        <w:spacing w:line="240" w:lineRule="auto"/>
        <w:ind w:right="29"/>
        <w:jc w:val="both"/>
        <w:rPr/>
      </w:pPr>
      <w:r w:rsidDel="00000000" w:rsidR="00000000" w:rsidRPr="00000000">
        <w:rPr>
          <w:rtl w:val="0"/>
        </w:rPr>
        <w:t xml:space="preserve">The ASEAN Centre for Biodiversity (ACB) is an intergovernmental regional centre of excellence established through an agreement among the Governments of the Member States of the Association of Southeast Asian Nations (ASEAN) in 2005. The ACB facilitates cooperation and coordination among the members of ASEAN, and with relevant national governments, regional and international organisations, on the conservation and sustainable use of biological diversity and the fair and equitable sharing of benefits arising from the use of such biodiversity in the ASEAN region. Since its establishment, the ACB has lived up to its mandate of strengthening national and regional capacity for biodiversity conservation. </w:t>
      </w:r>
    </w:p>
    <w:p w:rsidR="00000000" w:rsidDel="00000000" w:rsidP="00000000" w:rsidRDefault="00000000" w:rsidRPr="00000000" w14:paraId="000000AA">
      <w:pPr>
        <w:spacing w:line="240" w:lineRule="auto"/>
        <w:ind w:right="29"/>
        <w:jc w:val="both"/>
        <w:rPr/>
      </w:pPr>
      <w:r w:rsidDel="00000000" w:rsidR="00000000" w:rsidRPr="00000000">
        <w:rPr>
          <w:rtl w:val="0"/>
        </w:rPr>
      </w:r>
    </w:p>
    <w:p w:rsidR="00000000" w:rsidDel="00000000" w:rsidP="00000000" w:rsidRDefault="00000000" w:rsidRPr="00000000" w14:paraId="000000AB">
      <w:pPr>
        <w:spacing w:line="240" w:lineRule="auto"/>
        <w:ind w:right="29"/>
        <w:jc w:val="both"/>
        <w:rPr/>
      </w:pPr>
      <w:r w:rsidDel="00000000" w:rsidR="00000000" w:rsidRPr="00000000">
        <w:rPr>
          <w:rtl w:val="0"/>
        </w:rPr>
        <w:t xml:space="preserve">The ACB, in partnership with the UK Palladium and the Global Environment Centre (GEC), is currently implementing the project, </w:t>
      </w:r>
      <w:r w:rsidDel="00000000" w:rsidR="00000000" w:rsidRPr="00000000">
        <w:rPr>
          <w:i w:val="1"/>
          <w:rtl w:val="0"/>
        </w:rPr>
        <w:t xml:space="preserve">Enhancing Conservation and Restoration of Wetlands and Peatlands in ASEAN as Effective Sinks and Reservoirs of Greenhouse Gases (EnCORE Wetlands)</w:t>
      </w:r>
      <w:r w:rsidDel="00000000" w:rsidR="00000000" w:rsidRPr="00000000">
        <w:rPr>
          <w:rtl w:val="0"/>
        </w:rPr>
        <w:t xml:space="preserve">. This 2-year project, approved under the ASEAN-UK GTF and delivered through the UK Partnering for Accelerated Climate Transactions (UK PACT) Programme, aims to accelerate emissions reductions through the conservation, protection and restoration of carbon-rich wetland and peatland ecosystems, in the ASEAN region – reducing the impact of climate change on the most vulnerable ecosystems. Specifically, the project aims to: (i) improve inclusive site management plans and implementation in pilot sites integrate climate mitigation and restoration opportunities; (ii) Improved measurement of carbon stock and emissions reductions in pilot sites demonstrate the positive contributions wetlands and peatlands make in reducing climate change impacts; and, (iii) Improved nature-based economic opportunities in local communities and stakeholders to decrease pressures on wetlands and peatlands ecosystems.</w:t>
      </w:r>
    </w:p>
    <w:p w:rsidR="00000000" w:rsidDel="00000000" w:rsidP="00000000" w:rsidRDefault="00000000" w:rsidRPr="00000000" w14:paraId="000000AC">
      <w:pPr>
        <w:spacing w:line="240" w:lineRule="auto"/>
        <w:ind w:right="29"/>
        <w:jc w:val="both"/>
        <w:rPr/>
      </w:pPr>
      <w:r w:rsidDel="00000000" w:rsidR="00000000" w:rsidRPr="00000000">
        <w:rPr>
          <w:rtl w:val="0"/>
        </w:rPr>
      </w:r>
    </w:p>
    <w:p w:rsidR="00000000" w:rsidDel="00000000" w:rsidP="00000000" w:rsidRDefault="00000000" w:rsidRPr="00000000" w14:paraId="000000AD">
      <w:pPr>
        <w:spacing w:line="240" w:lineRule="auto"/>
        <w:ind w:right="29"/>
        <w:jc w:val="both"/>
        <w:rPr/>
      </w:pPr>
      <w:r w:rsidDel="00000000" w:rsidR="00000000" w:rsidRPr="00000000">
        <w:rPr>
          <w:rtl w:val="0"/>
        </w:rPr>
        <w:t xml:space="preserve">The ACB is seeking dynamic, innovative, and committed candidates for the position  Safeguards, Feasibility and Market Studies Consultant to assess and develop Social and Environmental Safeguards (SES) and carry out a feasibility and market studies (including value chains analysis) for the project in Agusan Marsh Wildlife Sanctuary, Philippines. This will particularly and directly contribute towards the achievement of the third project objective. This objective will be carried out through the empowerment of Indigenous People and local communities by providing capacity building and grant management support to implement a site-level nature-positive economy through climate-smart biodiversity-based activities, products, and services. </w:t>
      </w:r>
    </w:p>
    <w:p w:rsidR="00000000" w:rsidDel="00000000" w:rsidP="00000000" w:rsidRDefault="00000000" w:rsidRPr="00000000" w14:paraId="000000AE">
      <w:pPr>
        <w:spacing w:line="240" w:lineRule="auto"/>
        <w:ind w:right="29"/>
        <w:jc w:val="both"/>
        <w:rPr/>
      </w:pPr>
      <w:r w:rsidDel="00000000" w:rsidR="00000000" w:rsidRPr="00000000">
        <w:rPr>
          <w:rtl w:val="0"/>
        </w:rPr>
      </w:r>
    </w:p>
    <w:p w:rsidR="00000000" w:rsidDel="00000000" w:rsidP="00000000" w:rsidRDefault="00000000" w:rsidRPr="00000000" w14:paraId="000000AF">
      <w:pPr>
        <w:numPr>
          <w:ilvl w:val="0"/>
          <w:numId w:val="8"/>
        </w:numPr>
        <w:spacing w:line="240" w:lineRule="auto"/>
        <w:ind w:left="360" w:hanging="360"/>
        <w:rPr/>
      </w:pPr>
      <w:r w:rsidDel="00000000" w:rsidR="00000000" w:rsidRPr="00000000">
        <w:rPr>
          <w:b w:val="1"/>
          <w:rtl w:val="0"/>
        </w:rPr>
        <w:t xml:space="preserve">Scope of Services</w:t>
      </w: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t xml:space="preserve">Under the supervision of the Programmes Department Director,in close coordination with the Director for Sustainable Use and Access and Benefit Sharing Division, the Consultant shall perform the expected outputs/deliverables outlined in Section C of this Terms of Reference (TOR). The scope of services includes desk reviews, site-level assessments, coordination meetings, and reporting.</w:t>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spacing w:line="240" w:lineRule="auto"/>
        <w:ind w:left="720" w:firstLine="0"/>
        <w:rPr>
          <w:b w:val="1"/>
        </w:rPr>
      </w:pPr>
      <w:r w:rsidDel="00000000" w:rsidR="00000000" w:rsidRPr="00000000">
        <w:rPr>
          <w:rtl w:val="0"/>
        </w:rPr>
      </w:r>
    </w:p>
    <w:p w:rsidR="00000000" w:rsidDel="00000000" w:rsidP="00000000" w:rsidRDefault="00000000" w:rsidRPr="00000000" w14:paraId="000000B7">
      <w:pPr>
        <w:numPr>
          <w:ilvl w:val="0"/>
          <w:numId w:val="8"/>
        </w:numPr>
        <w:spacing w:line="240" w:lineRule="auto"/>
        <w:ind w:left="360" w:hanging="360"/>
        <w:rPr/>
      </w:pPr>
      <w:r w:rsidDel="00000000" w:rsidR="00000000" w:rsidRPr="00000000">
        <w:rPr>
          <w:b w:val="1"/>
          <w:rtl w:val="0"/>
        </w:rPr>
        <w:t xml:space="preserve">Expected Outputs/Deliverables</w:t>
      </w:r>
    </w:p>
    <w:p w:rsidR="00000000" w:rsidDel="00000000" w:rsidP="00000000" w:rsidRDefault="00000000" w:rsidRPr="00000000" w14:paraId="000000B8">
      <w:pPr>
        <w:spacing w:line="240" w:lineRule="auto"/>
        <w:ind w:left="720" w:firstLine="0"/>
        <w:rPr>
          <w:b w:val="1"/>
        </w:rPr>
      </w:pPr>
      <w:r w:rsidDel="00000000" w:rsidR="00000000" w:rsidRPr="00000000">
        <w:rPr>
          <w:rtl w:val="0"/>
        </w:rPr>
      </w:r>
    </w:p>
    <w:p w:rsidR="00000000" w:rsidDel="00000000" w:rsidP="00000000" w:rsidRDefault="00000000" w:rsidRPr="00000000" w14:paraId="000000B9">
      <w:pPr>
        <w:spacing w:line="240" w:lineRule="auto"/>
        <w:ind w:left="0" w:firstLine="0"/>
        <w:rPr/>
      </w:pPr>
      <w:r w:rsidDel="00000000" w:rsidR="00000000" w:rsidRPr="00000000">
        <w:rPr>
          <w:rtl w:val="0"/>
        </w:rPr>
        <w:t xml:space="preserve">The Consultant will be engaged to deliver the following:</w:t>
      </w:r>
    </w:p>
    <w:p w:rsidR="00000000" w:rsidDel="00000000" w:rsidP="00000000" w:rsidRDefault="00000000" w:rsidRPr="00000000" w14:paraId="000000BA">
      <w:pPr>
        <w:spacing w:line="240" w:lineRule="auto"/>
        <w:ind w:left="0" w:firstLine="0"/>
        <w:rPr/>
      </w:pPr>
      <w:r w:rsidDel="00000000" w:rsidR="00000000" w:rsidRPr="00000000">
        <w:rPr>
          <w:rtl w:val="0"/>
        </w:rPr>
      </w:r>
    </w:p>
    <w:p w:rsidR="00000000" w:rsidDel="00000000" w:rsidP="00000000" w:rsidRDefault="00000000" w:rsidRPr="00000000" w14:paraId="000000BB">
      <w:pPr>
        <w:numPr>
          <w:ilvl w:val="0"/>
          <w:numId w:val="4"/>
        </w:numPr>
        <w:spacing w:line="240" w:lineRule="auto"/>
        <w:ind w:left="720" w:hanging="360"/>
        <w:jc w:val="both"/>
        <w:rPr/>
      </w:pPr>
      <w:r w:rsidDel="00000000" w:rsidR="00000000" w:rsidRPr="00000000">
        <w:rPr>
          <w:rtl w:val="0"/>
        </w:rPr>
        <w:t xml:space="preserve">Study the implementation modality of the project and how stakeholders interact with each other;</w:t>
      </w:r>
    </w:p>
    <w:p w:rsidR="00000000" w:rsidDel="00000000" w:rsidP="00000000" w:rsidRDefault="00000000" w:rsidRPr="00000000" w14:paraId="000000BC">
      <w:pPr>
        <w:numPr>
          <w:ilvl w:val="0"/>
          <w:numId w:val="4"/>
        </w:numPr>
        <w:spacing w:line="240" w:lineRule="auto"/>
        <w:ind w:left="720" w:hanging="360"/>
        <w:jc w:val="both"/>
        <w:rPr/>
      </w:pPr>
      <w:r w:rsidDel="00000000" w:rsidR="00000000" w:rsidRPr="00000000">
        <w:rPr>
          <w:rtl w:val="0"/>
        </w:rPr>
        <w:t xml:space="preserve">Review the applicable national laws and regulations, relevant international standards, and institutional quality policies of the ACB on Social and Environmental Safeguards, as well as the Protected Area Management Plan, including the local and national policies applicable for developing climate-smart Biodiversity-based activities, products and services;</w:t>
      </w:r>
    </w:p>
    <w:p w:rsidR="00000000" w:rsidDel="00000000" w:rsidP="00000000" w:rsidRDefault="00000000" w:rsidRPr="00000000" w14:paraId="000000BD">
      <w:pPr>
        <w:numPr>
          <w:ilvl w:val="0"/>
          <w:numId w:val="4"/>
        </w:numPr>
        <w:spacing w:line="240" w:lineRule="auto"/>
        <w:ind w:left="720" w:hanging="360"/>
        <w:jc w:val="both"/>
        <w:rPr/>
      </w:pPr>
      <w:r w:rsidDel="00000000" w:rsidR="00000000" w:rsidRPr="00000000">
        <w:rPr>
          <w:rtl w:val="0"/>
        </w:rPr>
        <w:t xml:space="preserve">Develop a detailed work plan to carry out the task and meet with the key ACB personnel to discuss and finalise the detailed works plan; </w:t>
      </w:r>
    </w:p>
    <w:p w:rsidR="00000000" w:rsidDel="00000000" w:rsidP="00000000" w:rsidRDefault="00000000" w:rsidRPr="00000000" w14:paraId="000000BE">
      <w:pPr>
        <w:numPr>
          <w:ilvl w:val="0"/>
          <w:numId w:val="4"/>
        </w:numPr>
        <w:spacing w:line="240" w:lineRule="auto"/>
        <w:ind w:left="720" w:hanging="360"/>
        <w:jc w:val="both"/>
        <w:rPr/>
      </w:pPr>
      <w:r w:rsidDel="00000000" w:rsidR="00000000" w:rsidRPr="00000000">
        <w:rPr>
          <w:rtl w:val="0"/>
        </w:rPr>
        <w:t xml:space="preserve">As deemed necessary, set up an updating and coordination meeting with the key ACB personnel and concerned divisions . In all the tasks mentioned above, coordinate closely with and provide updates to the concerned divisions on the progress of the study.</w:t>
      </w:r>
    </w:p>
    <w:p w:rsidR="00000000" w:rsidDel="00000000" w:rsidP="00000000" w:rsidRDefault="00000000" w:rsidRPr="00000000" w14:paraId="000000BF">
      <w:pPr>
        <w:spacing w:line="240" w:lineRule="auto"/>
        <w:ind w:left="0" w:firstLine="0"/>
        <w:jc w:val="both"/>
        <w:rPr/>
      </w:pPr>
      <w:r w:rsidDel="00000000" w:rsidR="00000000" w:rsidRPr="00000000">
        <w:rPr>
          <w:rtl w:val="0"/>
        </w:rPr>
      </w:r>
    </w:p>
    <w:p w:rsidR="00000000" w:rsidDel="00000000" w:rsidP="00000000" w:rsidRDefault="00000000" w:rsidRPr="00000000" w14:paraId="000000C0">
      <w:pPr>
        <w:spacing w:line="240" w:lineRule="auto"/>
        <w:ind w:left="0" w:firstLine="0"/>
        <w:jc w:val="both"/>
        <w:rPr/>
      </w:pPr>
      <w:r w:rsidDel="00000000" w:rsidR="00000000" w:rsidRPr="00000000">
        <w:rPr>
          <w:rtl w:val="0"/>
        </w:rPr>
        <w:t xml:space="preserve">The specific tasks to be carried out under this consultancy are the following:</w:t>
      </w:r>
    </w:p>
    <w:p w:rsidR="00000000" w:rsidDel="00000000" w:rsidP="00000000" w:rsidRDefault="00000000" w:rsidRPr="00000000" w14:paraId="000000C1">
      <w:pPr>
        <w:spacing w:line="240" w:lineRule="auto"/>
        <w:ind w:left="0" w:firstLine="0"/>
        <w:rPr/>
      </w:pPr>
      <w:r w:rsidDel="00000000" w:rsidR="00000000" w:rsidRPr="00000000">
        <w:rPr>
          <w:rtl w:val="0"/>
        </w:rPr>
      </w:r>
    </w:p>
    <w:p w:rsidR="00000000" w:rsidDel="00000000" w:rsidP="00000000" w:rsidRDefault="00000000" w:rsidRPr="00000000" w14:paraId="000000C2">
      <w:pPr>
        <w:spacing w:line="240" w:lineRule="auto"/>
        <w:ind w:left="0" w:firstLine="0"/>
        <w:rPr>
          <w:strike w:val="1"/>
        </w:rPr>
      </w:pPr>
      <w:r w:rsidDel="00000000" w:rsidR="00000000" w:rsidRPr="00000000">
        <w:rPr>
          <w:b w:val="1"/>
          <w:i w:val="1"/>
          <w:rtl w:val="0"/>
        </w:rPr>
        <w:t xml:space="preserve">Social and Environmental Safeguards</w:t>
      </w:r>
      <w:r w:rsidDel="00000000" w:rsidR="00000000" w:rsidRPr="00000000">
        <w:rPr>
          <w:rtl w:val="0"/>
        </w:rPr>
      </w:r>
    </w:p>
    <w:p w:rsidR="00000000" w:rsidDel="00000000" w:rsidP="00000000" w:rsidRDefault="00000000" w:rsidRPr="00000000" w14:paraId="000000C3">
      <w:pPr>
        <w:jc w:val="both"/>
        <w:rPr>
          <w:strike w:val="1"/>
        </w:rPr>
      </w:pPr>
      <w:r w:rsidDel="00000000" w:rsidR="00000000" w:rsidRPr="00000000">
        <w:rPr>
          <w:rtl w:val="0"/>
        </w:rPr>
      </w:r>
    </w:p>
    <w:p w:rsidR="00000000" w:rsidDel="00000000" w:rsidP="00000000" w:rsidRDefault="00000000" w:rsidRPr="00000000" w14:paraId="000000C4">
      <w:pPr>
        <w:numPr>
          <w:ilvl w:val="0"/>
          <w:numId w:val="5"/>
        </w:numPr>
        <w:spacing w:line="240" w:lineRule="auto"/>
        <w:ind w:left="720" w:hanging="360"/>
        <w:jc w:val="both"/>
        <w:rPr/>
      </w:pPr>
      <w:r w:rsidDel="00000000" w:rsidR="00000000" w:rsidRPr="00000000">
        <w:rPr>
          <w:rtl w:val="0"/>
        </w:rPr>
        <w:t xml:space="preserve">Identify appropriate Social and Environmental Standards with details on compliance requirements, taking into account the ACB Quality Policy on Environmental Safeguards and other relevant ACB Social Quality Policies;</w:t>
      </w:r>
    </w:p>
    <w:p w:rsidR="00000000" w:rsidDel="00000000" w:rsidP="00000000" w:rsidRDefault="00000000" w:rsidRPr="00000000" w14:paraId="000000C5">
      <w:pPr>
        <w:numPr>
          <w:ilvl w:val="0"/>
          <w:numId w:val="5"/>
        </w:numPr>
        <w:spacing w:line="240" w:lineRule="auto"/>
        <w:ind w:left="720" w:hanging="360"/>
        <w:jc w:val="both"/>
        <w:rPr/>
      </w:pPr>
      <w:r w:rsidDel="00000000" w:rsidR="00000000" w:rsidRPr="00000000">
        <w:rPr>
          <w:rtl w:val="0"/>
        </w:rPr>
        <w:t xml:space="preserve">Recommend methods and tools for the SES Assessment appropriate for the project (i.e. ESIA), and, upon acceptance of the ACB, carry out such recommendations to proceed with the SES assessment;</w:t>
      </w:r>
    </w:p>
    <w:p w:rsidR="00000000" w:rsidDel="00000000" w:rsidP="00000000" w:rsidRDefault="00000000" w:rsidRPr="00000000" w14:paraId="000000C6">
      <w:pPr>
        <w:numPr>
          <w:ilvl w:val="1"/>
          <w:numId w:val="5"/>
        </w:numPr>
        <w:spacing w:line="240" w:lineRule="auto"/>
        <w:ind w:left="1440" w:hanging="360"/>
        <w:jc w:val="both"/>
        <w:rPr/>
      </w:pPr>
      <w:r w:rsidDel="00000000" w:rsidR="00000000" w:rsidRPr="00000000">
        <w:rPr>
          <w:rtl w:val="0"/>
        </w:rPr>
        <w:t xml:space="preserve">Carry out site visits and consultation workshops as deemed necessary;</w:t>
      </w:r>
    </w:p>
    <w:p w:rsidR="00000000" w:rsidDel="00000000" w:rsidP="00000000" w:rsidRDefault="00000000" w:rsidRPr="00000000" w14:paraId="000000C7">
      <w:pPr>
        <w:numPr>
          <w:ilvl w:val="1"/>
          <w:numId w:val="5"/>
        </w:numPr>
        <w:spacing w:line="240" w:lineRule="auto"/>
        <w:ind w:left="1440" w:hanging="360"/>
        <w:jc w:val="both"/>
        <w:rPr/>
      </w:pPr>
      <w:r w:rsidDel="00000000" w:rsidR="00000000" w:rsidRPr="00000000">
        <w:rPr>
          <w:rtl w:val="0"/>
        </w:rPr>
        <w:t xml:space="preserve">Identify environmental and social risks and impacts of the project, and approaches on managing and mitigating such risks and impacts to ensure compliance with the standards set forth for the project and environmental social risk register;</w:t>
      </w:r>
    </w:p>
    <w:p w:rsidR="00000000" w:rsidDel="00000000" w:rsidP="00000000" w:rsidRDefault="00000000" w:rsidRPr="00000000" w14:paraId="000000C8">
      <w:pPr>
        <w:numPr>
          <w:ilvl w:val="1"/>
          <w:numId w:val="5"/>
        </w:numPr>
        <w:spacing w:line="240" w:lineRule="auto"/>
        <w:ind w:left="1440" w:hanging="360"/>
        <w:jc w:val="both"/>
        <w:rPr/>
      </w:pPr>
      <w:r w:rsidDel="00000000" w:rsidR="00000000" w:rsidRPr="00000000">
        <w:rPr>
          <w:rtl w:val="0"/>
        </w:rPr>
        <w:t xml:space="preserve">Develop a toolkit for SES including methodologies and guidance for policy advocacy and policy advocacy proposal for institutionalising SES; and,</w:t>
      </w:r>
    </w:p>
    <w:p w:rsidR="00000000" w:rsidDel="00000000" w:rsidP="00000000" w:rsidRDefault="00000000" w:rsidRPr="00000000" w14:paraId="000000C9">
      <w:pPr>
        <w:numPr>
          <w:ilvl w:val="1"/>
          <w:numId w:val="5"/>
        </w:numPr>
        <w:spacing w:line="240" w:lineRule="auto"/>
        <w:ind w:left="1440" w:hanging="360"/>
        <w:jc w:val="both"/>
        <w:rPr/>
      </w:pPr>
      <w:r w:rsidDel="00000000" w:rsidR="00000000" w:rsidRPr="00000000">
        <w:rPr>
          <w:rtl w:val="0"/>
        </w:rPr>
        <w:t xml:space="preserve">Capacitate key ACB personnel in implementing the results and outputs of the assessment.</w:t>
      </w:r>
    </w:p>
    <w:p w:rsidR="00000000" w:rsidDel="00000000" w:rsidP="00000000" w:rsidRDefault="00000000" w:rsidRPr="00000000" w14:paraId="000000CA">
      <w:pPr>
        <w:numPr>
          <w:ilvl w:val="0"/>
          <w:numId w:val="5"/>
        </w:numPr>
        <w:spacing w:line="240" w:lineRule="auto"/>
        <w:ind w:left="720" w:hanging="360"/>
        <w:jc w:val="both"/>
        <w:rPr/>
      </w:pPr>
      <w:r w:rsidDel="00000000" w:rsidR="00000000" w:rsidRPr="00000000">
        <w:rPr>
          <w:rtl w:val="0"/>
        </w:rPr>
        <w:t xml:space="preserve">Facilitate national capacity-building workshop for development of social and environmental safeguards participated in by communities in identified sites and IPLCs</w:t>
      </w:r>
    </w:p>
    <w:p w:rsidR="00000000" w:rsidDel="00000000" w:rsidP="00000000" w:rsidRDefault="00000000" w:rsidRPr="00000000" w14:paraId="000000CB">
      <w:pPr>
        <w:spacing w:line="240" w:lineRule="auto"/>
        <w:ind w:left="0" w:firstLine="0"/>
        <w:jc w:val="both"/>
        <w:rPr/>
      </w:pPr>
      <w:r w:rsidDel="00000000" w:rsidR="00000000" w:rsidRPr="00000000">
        <w:rPr>
          <w:rtl w:val="0"/>
        </w:rPr>
      </w:r>
    </w:p>
    <w:p w:rsidR="00000000" w:rsidDel="00000000" w:rsidP="00000000" w:rsidRDefault="00000000" w:rsidRPr="00000000" w14:paraId="000000CC">
      <w:pPr>
        <w:spacing w:line="240" w:lineRule="auto"/>
        <w:ind w:left="0" w:firstLine="0"/>
        <w:jc w:val="both"/>
        <w:rPr>
          <w:b w:val="1"/>
          <w:i w:val="1"/>
        </w:rPr>
      </w:pPr>
      <w:r w:rsidDel="00000000" w:rsidR="00000000" w:rsidRPr="00000000">
        <w:rPr>
          <w:b w:val="1"/>
          <w:i w:val="1"/>
          <w:rtl w:val="0"/>
        </w:rPr>
        <w:t xml:space="preserve">Feasibility Study</w:t>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numPr>
          <w:ilvl w:val="0"/>
          <w:numId w:val="10"/>
        </w:numPr>
        <w:ind w:left="720" w:hanging="360"/>
        <w:jc w:val="both"/>
        <w:rPr/>
      </w:pPr>
      <w:r w:rsidDel="00000000" w:rsidR="00000000" w:rsidRPr="00000000">
        <w:rPr>
          <w:rtl w:val="0"/>
        </w:rPr>
        <w:t xml:space="preserve">Conduct a feasibility study and market study (including value chain analysis) to provide a sound basis for streamlining nature positive economy;</w:t>
      </w:r>
      <w:r w:rsidDel="00000000" w:rsidR="00000000" w:rsidRPr="00000000">
        <w:rPr>
          <w:rtl w:val="0"/>
        </w:rPr>
      </w:r>
    </w:p>
    <w:p w:rsidR="00000000" w:rsidDel="00000000" w:rsidP="00000000" w:rsidRDefault="00000000" w:rsidRPr="00000000" w14:paraId="000000CF">
      <w:pPr>
        <w:numPr>
          <w:ilvl w:val="1"/>
          <w:numId w:val="10"/>
        </w:numPr>
        <w:spacing w:line="240" w:lineRule="auto"/>
        <w:ind w:left="1440" w:hanging="360"/>
        <w:jc w:val="both"/>
        <w:rPr/>
      </w:pPr>
      <w:r w:rsidDel="00000000" w:rsidR="00000000" w:rsidRPr="00000000">
        <w:rPr>
          <w:rtl w:val="0"/>
        </w:rPr>
        <w:t xml:space="preserve">Carry out site visits and consultation workshops as deemed necessary;</w:t>
      </w:r>
    </w:p>
    <w:p w:rsidR="00000000" w:rsidDel="00000000" w:rsidP="00000000" w:rsidRDefault="00000000" w:rsidRPr="00000000" w14:paraId="000000D0">
      <w:pPr>
        <w:numPr>
          <w:ilvl w:val="1"/>
          <w:numId w:val="10"/>
        </w:numPr>
        <w:ind w:left="1440" w:hanging="360"/>
        <w:jc w:val="both"/>
        <w:rPr/>
      </w:pPr>
      <w:r w:rsidDel="00000000" w:rsidR="00000000" w:rsidRPr="00000000">
        <w:rPr>
          <w:rtl w:val="0"/>
        </w:rPr>
        <w:t xml:space="preserve">​​Assess the governance structure and dynamics, inter-agency and multi-stakeholder interactions of the concerned agencies, collaboration frameworks and decision making processes that will affect the implementation of the project;</w:t>
      </w:r>
      <w:r w:rsidDel="00000000" w:rsidR="00000000" w:rsidRPr="00000000">
        <w:rPr>
          <w:rtl w:val="0"/>
        </w:rPr>
      </w:r>
    </w:p>
    <w:p w:rsidR="00000000" w:rsidDel="00000000" w:rsidP="00000000" w:rsidRDefault="00000000" w:rsidRPr="00000000" w14:paraId="000000D1">
      <w:pPr>
        <w:numPr>
          <w:ilvl w:val="1"/>
          <w:numId w:val="10"/>
        </w:numPr>
        <w:ind w:left="1440" w:hanging="360"/>
        <w:jc w:val="both"/>
        <w:rPr/>
      </w:pPr>
      <w:r w:rsidDel="00000000" w:rsidR="00000000" w:rsidRPr="00000000">
        <w:rPr>
          <w:rtl w:val="0"/>
        </w:rPr>
        <w:t xml:space="preserve">Assess the organisations (i.e. International and National NGOs, CBOs, CSOs, among others) present on the ground and how their existing mechanisms may potentially contribute to the effective implementation of the project; and,</w:t>
      </w:r>
      <w:r w:rsidDel="00000000" w:rsidR="00000000" w:rsidRPr="00000000">
        <w:rPr>
          <w:rtl w:val="0"/>
        </w:rPr>
      </w:r>
    </w:p>
    <w:p w:rsidR="00000000" w:rsidDel="00000000" w:rsidP="00000000" w:rsidRDefault="00000000" w:rsidRPr="00000000" w14:paraId="000000D2">
      <w:pPr>
        <w:numPr>
          <w:ilvl w:val="1"/>
          <w:numId w:val="10"/>
        </w:numPr>
        <w:ind w:left="1440" w:hanging="360"/>
        <w:jc w:val="both"/>
        <w:rPr/>
      </w:pPr>
      <w:r w:rsidDel="00000000" w:rsidR="00000000" w:rsidRPr="00000000">
        <w:rPr>
          <w:rtl w:val="0"/>
        </w:rPr>
        <w:t xml:space="preserve">Identify potential markets and private sectors with interest in nature-based commodities at selected communities in the landscape surrounding the protected area.</w:t>
      </w:r>
      <w:r w:rsidDel="00000000" w:rsidR="00000000" w:rsidRPr="00000000">
        <w:rPr>
          <w:rtl w:val="0"/>
        </w:rPr>
      </w:r>
    </w:p>
    <w:p w:rsidR="00000000" w:rsidDel="00000000" w:rsidP="00000000" w:rsidRDefault="00000000" w:rsidRPr="00000000" w14:paraId="000000D3">
      <w:pPr>
        <w:numPr>
          <w:ilvl w:val="1"/>
          <w:numId w:val="10"/>
        </w:numPr>
        <w:ind w:left="1440" w:hanging="360"/>
        <w:jc w:val="both"/>
        <w:rPr/>
      </w:pPr>
      <w:r w:rsidDel="00000000" w:rsidR="00000000" w:rsidRPr="00000000">
        <w:rPr>
          <w:rtl w:val="0"/>
        </w:rPr>
        <w:t xml:space="preserve">Develop a layout/map of the entire source to the product of the enterprise, including an assessment of the enabling conditions. </w:t>
      </w:r>
    </w:p>
    <w:p w:rsidR="00000000" w:rsidDel="00000000" w:rsidP="00000000" w:rsidRDefault="00000000" w:rsidRPr="00000000" w14:paraId="000000D4">
      <w:pPr>
        <w:ind w:left="1440" w:firstLine="0"/>
        <w:jc w:val="both"/>
        <w:rPr/>
      </w:pPr>
      <w:r w:rsidDel="00000000" w:rsidR="00000000" w:rsidRPr="00000000">
        <w:rPr>
          <w:rtl w:val="0"/>
        </w:rPr>
      </w:r>
    </w:p>
    <w:p w:rsidR="00000000" w:rsidDel="00000000" w:rsidP="00000000" w:rsidRDefault="00000000" w:rsidRPr="00000000" w14:paraId="000000D5">
      <w:pPr>
        <w:numPr>
          <w:ilvl w:val="0"/>
          <w:numId w:val="8"/>
        </w:numPr>
        <w:spacing w:line="240" w:lineRule="auto"/>
        <w:ind w:left="360" w:hanging="360"/>
        <w:jc w:val="both"/>
        <w:rPr/>
      </w:pPr>
      <w:r w:rsidDel="00000000" w:rsidR="00000000" w:rsidRPr="00000000">
        <w:rPr>
          <w:b w:val="1"/>
          <w:rtl w:val="0"/>
        </w:rPr>
        <w:t xml:space="preserve">Qualifications and Experience </w:t>
      </w:r>
      <w:r w:rsidDel="00000000" w:rsidR="00000000" w:rsidRPr="00000000">
        <w:rPr>
          <w:rtl w:val="0"/>
        </w:rPr>
      </w:r>
    </w:p>
    <w:p w:rsidR="00000000" w:rsidDel="00000000" w:rsidP="00000000" w:rsidRDefault="00000000" w:rsidRPr="00000000" w14:paraId="000000D6">
      <w:pPr>
        <w:spacing w:line="240" w:lineRule="auto"/>
        <w:ind w:left="360" w:firstLine="0"/>
        <w:rPr/>
      </w:pPr>
      <w:r w:rsidDel="00000000" w:rsidR="00000000" w:rsidRPr="00000000">
        <w:rPr>
          <w:rtl w:val="0"/>
        </w:rPr>
      </w:r>
    </w:p>
    <w:p w:rsidR="00000000" w:rsidDel="00000000" w:rsidP="00000000" w:rsidRDefault="00000000" w:rsidRPr="00000000" w14:paraId="000000D7">
      <w:pPr>
        <w:numPr>
          <w:ilvl w:val="0"/>
          <w:numId w:val="6"/>
        </w:numPr>
        <w:spacing w:line="259" w:lineRule="auto"/>
        <w:ind w:left="720" w:hanging="360"/>
        <w:jc w:val="both"/>
        <w:rPr/>
      </w:pPr>
      <w:r w:rsidDel="00000000" w:rsidR="00000000" w:rsidRPr="00000000">
        <w:rPr>
          <w:rtl w:val="0"/>
        </w:rPr>
        <w:t xml:space="preserve">Education</w:t>
      </w:r>
    </w:p>
    <w:p w:rsidR="00000000" w:rsidDel="00000000" w:rsidP="00000000" w:rsidRDefault="00000000" w:rsidRPr="00000000" w14:paraId="000000D8">
      <w:pPr>
        <w:numPr>
          <w:ilvl w:val="0"/>
          <w:numId w:val="7"/>
        </w:numPr>
        <w:spacing w:line="276" w:lineRule="auto"/>
        <w:ind w:left="1440" w:hanging="360"/>
        <w:jc w:val="both"/>
        <w:rPr/>
      </w:pPr>
      <w:r w:rsidDel="00000000" w:rsidR="00000000" w:rsidRPr="00000000">
        <w:rPr>
          <w:rtl w:val="0"/>
        </w:rPr>
        <w:t xml:space="preserve">S/he must be a holder of master’s degree (Economics, Finance, Market Analysis, Environmental Sciences, Sociology, Anthropology, or any other relevant environmental and/or social field or any other relevant field);</w:t>
      </w:r>
    </w:p>
    <w:p w:rsidR="00000000" w:rsidDel="00000000" w:rsidP="00000000" w:rsidRDefault="00000000" w:rsidRPr="00000000" w14:paraId="000000D9">
      <w:pPr>
        <w:spacing w:line="276" w:lineRule="auto"/>
        <w:ind w:left="1080" w:firstLine="0"/>
        <w:jc w:val="both"/>
        <w:rPr/>
      </w:pPr>
      <w:r w:rsidDel="00000000" w:rsidR="00000000" w:rsidRPr="00000000">
        <w:rPr>
          <w:rtl w:val="0"/>
        </w:rPr>
      </w:r>
    </w:p>
    <w:p w:rsidR="00000000" w:rsidDel="00000000" w:rsidP="00000000" w:rsidRDefault="00000000" w:rsidRPr="00000000" w14:paraId="000000DA">
      <w:pPr>
        <w:numPr>
          <w:ilvl w:val="0"/>
          <w:numId w:val="6"/>
        </w:numPr>
        <w:shd w:fill="ffffff" w:val="clear"/>
        <w:spacing w:line="240" w:lineRule="auto"/>
        <w:ind w:left="720" w:hanging="360"/>
        <w:rPr/>
      </w:pPr>
      <w:r w:rsidDel="00000000" w:rsidR="00000000" w:rsidRPr="00000000">
        <w:rPr>
          <w:rtl w:val="0"/>
        </w:rPr>
        <w:t xml:space="preserve">Work Experience</w:t>
      </w:r>
    </w:p>
    <w:p w:rsidR="00000000" w:rsidDel="00000000" w:rsidP="00000000" w:rsidRDefault="00000000" w:rsidRPr="00000000" w14:paraId="000000DB">
      <w:pPr>
        <w:numPr>
          <w:ilvl w:val="0"/>
          <w:numId w:val="9"/>
        </w:numPr>
        <w:ind w:left="1440" w:hanging="360"/>
        <w:jc w:val="both"/>
        <w:rPr/>
      </w:pPr>
      <w:r w:rsidDel="00000000" w:rsidR="00000000" w:rsidRPr="00000000">
        <w:rPr>
          <w:rtl w:val="0"/>
        </w:rPr>
        <w:t xml:space="preserve">Minimum of 10 years of relevant experience in designing and conducting Environmental and Social Assessments in line with international safeguards standards (i.e. World Bank, ADB, IFC, etc.), and </w:t>
      </w:r>
      <w:r w:rsidDel="00000000" w:rsidR="00000000" w:rsidRPr="00000000">
        <w:rPr>
          <w:rtl w:val="0"/>
        </w:rPr>
      </w:r>
    </w:p>
    <w:p w:rsidR="00000000" w:rsidDel="00000000" w:rsidP="00000000" w:rsidRDefault="00000000" w:rsidRPr="00000000" w14:paraId="000000DC">
      <w:pPr>
        <w:numPr>
          <w:ilvl w:val="0"/>
          <w:numId w:val="9"/>
        </w:numPr>
        <w:ind w:left="1440" w:hanging="360"/>
        <w:jc w:val="both"/>
        <w:rPr/>
      </w:pPr>
      <w:r w:rsidDel="00000000" w:rsidR="00000000" w:rsidRPr="00000000">
        <w:rPr>
          <w:rtl w:val="0"/>
        </w:rPr>
        <w:t xml:space="preserve">Minimum of 10 years of relevant experience in  conducting Feasibility Study and Value Chain Analysis;</w:t>
      </w:r>
      <w:r w:rsidDel="00000000" w:rsidR="00000000" w:rsidRPr="00000000">
        <w:rPr>
          <w:rtl w:val="0"/>
        </w:rPr>
      </w:r>
    </w:p>
    <w:p w:rsidR="00000000" w:rsidDel="00000000" w:rsidP="00000000" w:rsidRDefault="00000000" w:rsidRPr="00000000" w14:paraId="000000DD">
      <w:pPr>
        <w:numPr>
          <w:ilvl w:val="0"/>
          <w:numId w:val="9"/>
        </w:numPr>
        <w:ind w:left="1440" w:hanging="360"/>
        <w:jc w:val="both"/>
        <w:rPr/>
      </w:pPr>
      <w:r w:rsidDel="00000000" w:rsidR="00000000" w:rsidRPr="00000000">
        <w:rPr>
          <w:rtl w:val="0"/>
        </w:rPr>
        <w:t xml:space="preserve">Experience in conducting training and capacity building in environmental and social safeguards; </w:t>
      </w:r>
      <w:r w:rsidDel="00000000" w:rsidR="00000000" w:rsidRPr="00000000">
        <w:rPr>
          <w:rtl w:val="0"/>
        </w:rPr>
      </w:r>
    </w:p>
    <w:p w:rsidR="00000000" w:rsidDel="00000000" w:rsidP="00000000" w:rsidRDefault="00000000" w:rsidRPr="00000000" w14:paraId="000000DE">
      <w:pPr>
        <w:numPr>
          <w:ilvl w:val="0"/>
          <w:numId w:val="9"/>
        </w:numPr>
        <w:ind w:left="1440" w:hanging="360"/>
        <w:jc w:val="both"/>
        <w:rPr/>
      </w:pPr>
      <w:r w:rsidDel="00000000" w:rsidR="00000000" w:rsidRPr="00000000">
        <w:rPr>
          <w:rtl w:val="0"/>
        </w:rPr>
        <w:t xml:space="preserve">Relevant experience in management and monitoring of similar projects related to protected areas, conservation and natural resources management; </w:t>
      </w:r>
      <w:r w:rsidDel="00000000" w:rsidR="00000000" w:rsidRPr="00000000">
        <w:rPr>
          <w:rtl w:val="0"/>
        </w:rPr>
      </w:r>
    </w:p>
    <w:p w:rsidR="00000000" w:rsidDel="00000000" w:rsidP="00000000" w:rsidRDefault="00000000" w:rsidRPr="00000000" w14:paraId="000000DF">
      <w:pPr>
        <w:numPr>
          <w:ilvl w:val="0"/>
          <w:numId w:val="9"/>
        </w:numPr>
        <w:ind w:left="1440" w:hanging="360"/>
        <w:jc w:val="both"/>
        <w:rPr/>
      </w:pPr>
      <w:r w:rsidDel="00000000" w:rsidR="00000000" w:rsidRPr="00000000">
        <w:rPr>
          <w:rtl w:val="0"/>
        </w:rPr>
        <w:t xml:space="preserve">Experience working on a donor-funded project is an advantage;</w:t>
      </w:r>
      <w:r w:rsidDel="00000000" w:rsidR="00000000" w:rsidRPr="00000000">
        <w:rPr>
          <w:rtl w:val="0"/>
        </w:rPr>
      </w:r>
    </w:p>
    <w:p w:rsidR="00000000" w:rsidDel="00000000" w:rsidP="00000000" w:rsidRDefault="00000000" w:rsidRPr="00000000" w14:paraId="000000E0">
      <w:pPr>
        <w:numPr>
          <w:ilvl w:val="0"/>
          <w:numId w:val="9"/>
        </w:numPr>
        <w:ind w:left="1440" w:hanging="360"/>
        <w:jc w:val="both"/>
        <w:rPr/>
      </w:pPr>
      <w:r w:rsidDel="00000000" w:rsidR="00000000" w:rsidRPr="00000000">
        <w:rPr>
          <w:rtl w:val="0"/>
        </w:rPr>
        <w:t xml:space="preserve">Familiarity with and experience within the Philippines and Malaysia or other ASEAN Member States will be an advantage;</w:t>
      </w:r>
      <w:r w:rsidDel="00000000" w:rsidR="00000000" w:rsidRPr="00000000">
        <w:rPr>
          <w:rtl w:val="0"/>
        </w:rPr>
      </w:r>
    </w:p>
    <w:p w:rsidR="00000000" w:rsidDel="00000000" w:rsidP="00000000" w:rsidRDefault="00000000" w:rsidRPr="00000000" w14:paraId="000000E1">
      <w:pPr>
        <w:shd w:fill="ffffff" w:val="clear"/>
        <w:spacing w:line="240" w:lineRule="auto"/>
        <w:ind w:left="0" w:firstLine="0"/>
        <w:rPr/>
      </w:pPr>
      <w:r w:rsidDel="00000000" w:rsidR="00000000" w:rsidRPr="00000000">
        <w:rPr>
          <w:rtl w:val="0"/>
        </w:rPr>
      </w:r>
    </w:p>
    <w:p w:rsidR="00000000" w:rsidDel="00000000" w:rsidP="00000000" w:rsidRDefault="00000000" w:rsidRPr="00000000" w14:paraId="000000E2">
      <w:pPr>
        <w:numPr>
          <w:ilvl w:val="0"/>
          <w:numId w:val="6"/>
        </w:numPr>
        <w:spacing w:line="259" w:lineRule="auto"/>
        <w:ind w:left="720" w:hanging="360"/>
        <w:jc w:val="both"/>
        <w:rPr/>
      </w:pPr>
      <w:r w:rsidDel="00000000" w:rsidR="00000000" w:rsidRPr="00000000">
        <w:rPr>
          <w:rtl w:val="0"/>
        </w:rPr>
        <w:t xml:space="preserve">Skills</w:t>
      </w:r>
    </w:p>
    <w:p w:rsidR="00000000" w:rsidDel="00000000" w:rsidP="00000000" w:rsidRDefault="00000000" w:rsidRPr="00000000" w14:paraId="000000E3">
      <w:pPr>
        <w:numPr>
          <w:ilvl w:val="0"/>
          <w:numId w:val="7"/>
        </w:numPr>
        <w:shd w:fill="ffffff" w:val="clear"/>
        <w:spacing w:line="240" w:lineRule="auto"/>
        <w:ind w:left="1440" w:hanging="360"/>
        <w:jc w:val="both"/>
        <w:rPr/>
      </w:pPr>
      <w:r w:rsidDel="00000000" w:rsidR="00000000" w:rsidRPr="00000000">
        <w:rPr>
          <w:rtl w:val="0"/>
        </w:rPr>
        <w:t xml:space="preserve">Ability to work in a multicultural environment and to interact positively with a wide range of stakeholders in an international, regional and national context.</w:t>
      </w:r>
    </w:p>
    <w:p w:rsidR="00000000" w:rsidDel="00000000" w:rsidP="00000000" w:rsidRDefault="00000000" w:rsidRPr="00000000" w14:paraId="000000E4">
      <w:pPr>
        <w:numPr>
          <w:ilvl w:val="0"/>
          <w:numId w:val="7"/>
        </w:numPr>
        <w:shd w:fill="ffffff" w:val="clear"/>
        <w:spacing w:line="240" w:lineRule="auto"/>
        <w:ind w:left="1440" w:hanging="360"/>
        <w:jc w:val="both"/>
        <w:rPr/>
      </w:pPr>
      <w:r w:rsidDel="00000000" w:rsidR="00000000" w:rsidRPr="00000000">
        <w:rPr>
          <w:rtl w:val="0"/>
        </w:rPr>
        <w:t xml:space="preserve">Ability to work independently and as part of a team, with a positive, enthusiastic and self-motivated attitude, with professional and personal ethos and integrity;</w:t>
      </w:r>
    </w:p>
    <w:p w:rsidR="00000000" w:rsidDel="00000000" w:rsidP="00000000" w:rsidRDefault="00000000" w:rsidRPr="00000000" w14:paraId="000000E5">
      <w:pPr>
        <w:numPr>
          <w:ilvl w:val="0"/>
          <w:numId w:val="7"/>
        </w:numPr>
        <w:shd w:fill="ffffff" w:val="clear"/>
        <w:spacing w:line="240" w:lineRule="auto"/>
        <w:ind w:left="1440" w:hanging="360"/>
        <w:jc w:val="both"/>
        <w:rPr/>
      </w:pPr>
      <w:r w:rsidDel="00000000" w:rsidR="00000000" w:rsidRPr="00000000">
        <w:rPr>
          <w:rtl w:val="0"/>
        </w:rPr>
        <w:t xml:space="preserve">Ability to manage multiple tasks simultaneously, and manage time effectively;</w:t>
      </w:r>
    </w:p>
    <w:p w:rsidR="00000000" w:rsidDel="00000000" w:rsidP="00000000" w:rsidRDefault="00000000" w:rsidRPr="00000000" w14:paraId="000000E6">
      <w:pPr>
        <w:numPr>
          <w:ilvl w:val="0"/>
          <w:numId w:val="7"/>
        </w:numPr>
        <w:shd w:fill="ffffff" w:val="clear"/>
        <w:spacing w:line="240" w:lineRule="auto"/>
        <w:ind w:left="1440" w:hanging="360"/>
        <w:jc w:val="both"/>
        <w:rPr/>
      </w:pPr>
      <w:r w:rsidDel="00000000" w:rsidR="00000000" w:rsidRPr="00000000">
        <w:rPr>
          <w:rtl w:val="0"/>
        </w:rPr>
        <w:t xml:space="preserve">Strong interpersonal and communication skills, including excellent oral and written communication skills in English.</w:t>
      </w:r>
    </w:p>
    <w:p w:rsidR="00000000" w:rsidDel="00000000" w:rsidP="00000000" w:rsidRDefault="00000000" w:rsidRPr="00000000" w14:paraId="000000E7">
      <w:pPr>
        <w:spacing w:line="259" w:lineRule="auto"/>
        <w:ind w:left="1440" w:firstLine="0"/>
        <w:jc w:val="both"/>
        <w:rPr/>
      </w:pPr>
      <w:r w:rsidDel="00000000" w:rsidR="00000000" w:rsidRPr="00000000">
        <w:rPr>
          <w:rtl w:val="0"/>
        </w:rPr>
      </w:r>
    </w:p>
    <w:p w:rsidR="00000000" w:rsidDel="00000000" w:rsidP="00000000" w:rsidRDefault="00000000" w:rsidRPr="00000000" w14:paraId="000000E8">
      <w:pPr>
        <w:numPr>
          <w:ilvl w:val="0"/>
          <w:numId w:val="6"/>
        </w:numPr>
        <w:spacing w:line="259" w:lineRule="auto"/>
        <w:ind w:left="720" w:hanging="360"/>
        <w:jc w:val="both"/>
        <w:rPr/>
      </w:pPr>
      <w:r w:rsidDel="00000000" w:rsidR="00000000" w:rsidRPr="00000000">
        <w:rPr>
          <w:rtl w:val="0"/>
        </w:rPr>
        <w:t xml:space="preserve">Nationality</w:t>
      </w:r>
    </w:p>
    <w:p w:rsidR="00000000" w:rsidDel="00000000" w:rsidP="00000000" w:rsidRDefault="00000000" w:rsidRPr="00000000" w14:paraId="000000E9">
      <w:pPr>
        <w:numPr>
          <w:ilvl w:val="0"/>
          <w:numId w:val="7"/>
        </w:numPr>
        <w:spacing w:after="160" w:line="259" w:lineRule="auto"/>
        <w:ind w:left="1440" w:hanging="360"/>
        <w:jc w:val="both"/>
        <w:rPr/>
      </w:pPr>
      <w:r w:rsidDel="00000000" w:rsidR="00000000" w:rsidRPr="00000000">
        <w:rPr>
          <w:rtl w:val="0"/>
        </w:rPr>
        <w:t xml:space="preserve">Must be a national of any of the ASEAN Member States</w:t>
      </w:r>
    </w:p>
    <w:sectPr>
      <w:headerReference r:id="rId11" w:type="default"/>
      <w:headerReference r:id="rId12" w:type="first"/>
      <w:footerReference r:id="rId13" w:type="default"/>
      <w:footerReference r:id="rId14" w:type="first"/>
      <w:pgSz w:h="16838" w:w="11906" w:orient="portrait"/>
      <w:pgMar w:bottom="1455"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tabs>
        <w:tab w:val="center" w:leader="none" w:pos="4680"/>
        <w:tab w:val="right" w:leader="none" w:pos="9360"/>
      </w:tabs>
      <w:spacing w:line="240" w:lineRule="auto"/>
      <w:rPr>
        <w:b w:val="1"/>
        <w:sz w:val="14"/>
        <w:szCs w:val="14"/>
      </w:rPr>
    </w:pPr>
    <w:r w:rsidDel="00000000" w:rsidR="00000000" w:rsidRPr="00000000">
      <w:rPr>
        <w:rtl w:val="0"/>
      </w:rPr>
    </w:r>
  </w:p>
  <w:p w:rsidR="00000000" w:rsidDel="00000000" w:rsidP="00000000" w:rsidRDefault="00000000" w:rsidRPr="00000000" w14:paraId="000000F4">
    <w:pPr>
      <w:tabs>
        <w:tab w:val="center" w:leader="none" w:pos="4680"/>
        <w:tab w:val="right" w:leader="none" w:pos="9360"/>
      </w:tabs>
      <w:spacing w:line="240" w:lineRule="auto"/>
      <w:rPr>
        <w:b w:val="1"/>
        <w:sz w:val="14"/>
        <w:szCs w:val="14"/>
      </w:rPr>
    </w:pPr>
    <w:r w:rsidDel="00000000" w:rsidR="00000000" w:rsidRPr="00000000">
      <w:rPr>
        <w:rtl w:val="0"/>
      </w:rPr>
    </w:r>
  </w:p>
  <w:p w:rsidR="00000000" w:rsidDel="00000000" w:rsidP="00000000" w:rsidRDefault="00000000" w:rsidRPr="00000000" w14:paraId="000000F5">
    <w:pPr>
      <w:tabs>
        <w:tab w:val="center" w:leader="none" w:pos="4680"/>
        <w:tab w:val="right" w:leader="none" w:pos="9360"/>
      </w:tabs>
      <w:spacing w:line="240" w:lineRule="auto"/>
      <w:rPr>
        <w:b w:val="1"/>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-6348</wp:posOffset>
              </wp:positionH>
              <wp:positionV relativeFrom="paragraph">
                <wp:posOffset>-44448</wp:posOffset>
              </wp:positionV>
              <wp:extent cx="76200" cy="76200"/>
              <wp:effectExtent b="0" l="0" r="0" t="0"/>
              <wp:wrapNone/>
              <wp:docPr id="85" name=""/>
              <a:graphic>
                <a:graphicData uri="http://schemas.microsoft.com/office/word/2010/wordprocessingShape">
                  <wps:wsp>
                    <wps:cNvCnPr/>
                    <wps:spPr>
                      <a:xfrm>
                        <a:off x="2029816" y="3780000"/>
                        <a:ext cx="6632369" cy="0"/>
                      </a:xfrm>
                      <a:prstGeom prst="straightConnector1">
                        <a:avLst/>
                      </a:prstGeom>
                      <a:noFill/>
                      <a:ln cap="flat" cmpd="sng" w="12700">
                        <a:solidFill>
                          <a:srgbClr val="005288"/>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-6348</wp:posOffset>
              </wp:positionH>
              <wp:positionV relativeFrom="paragraph">
                <wp:posOffset>-44448</wp:posOffset>
              </wp:positionV>
              <wp:extent cx="76200" cy="76200"/>
              <wp:effectExtent b="0" l="0" r="0" t="0"/>
              <wp:wrapNone/>
              <wp:docPr id="85"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76200" cy="76200"/>
                      </a:xfrm>
                      <a:prstGeom prst="rect"/>
                      <a:ln/>
                    </pic:spPr>
                  </pic:pic>
                </a:graphicData>
              </a:graphic>
            </wp:anchor>
          </w:drawing>
        </mc:Fallback>
      </mc:AlternateContent>
    </w:r>
  </w:p>
  <w:p w:rsidR="00000000" w:rsidDel="00000000" w:rsidP="00000000" w:rsidRDefault="00000000" w:rsidRPr="00000000" w14:paraId="000000F6">
    <w:pPr>
      <w:tabs>
        <w:tab w:val="center" w:leader="none" w:pos="4680"/>
        <w:tab w:val="right" w:leader="none" w:pos="9360"/>
      </w:tabs>
      <w:spacing w:line="240" w:lineRule="auto"/>
      <w:rPr>
        <w:b w:val="1"/>
        <w:sz w:val="14"/>
        <w:szCs w:val="1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4429125</wp:posOffset>
          </wp:positionH>
          <wp:positionV relativeFrom="paragraph">
            <wp:posOffset>98168</wp:posOffset>
          </wp:positionV>
          <wp:extent cx="1512235" cy="360000"/>
          <wp:effectExtent b="0" l="0" r="0" t="0"/>
          <wp:wrapNone/>
          <wp:docPr id="9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512235" cy="360000"/>
                  </a:xfrm>
                  <a:prstGeom prst="rect"/>
                  <a:ln/>
                </pic:spPr>
              </pic:pic>
            </a:graphicData>
          </a:graphic>
        </wp:anchor>
      </w:drawing>
    </w:r>
  </w:p>
  <w:p w:rsidR="00000000" w:rsidDel="00000000" w:rsidP="00000000" w:rsidRDefault="00000000" w:rsidRPr="00000000" w14:paraId="000000F7">
    <w:pPr>
      <w:tabs>
        <w:tab w:val="center" w:leader="none" w:pos="4680"/>
        <w:tab w:val="right" w:leader="none" w:pos="9360"/>
      </w:tabs>
      <w:spacing w:line="240" w:lineRule="auto"/>
      <w:rPr>
        <w:b w:val="1"/>
        <w:sz w:val="14"/>
        <w:szCs w:val="14"/>
      </w:rPr>
    </w:pPr>
    <w:r w:rsidDel="00000000" w:rsidR="00000000" w:rsidRPr="00000000">
      <w:rPr>
        <w:b w:val="1"/>
        <w:sz w:val="14"/>
        <w:szCs w:val="14"/>
        <w:rtl w:val="0"/>
      </w:rPr>
      <w:t xml:space="preserve">ASEAN Centre for Biodiversity</w:t>
    </w:r>
  </w:p>
  <w:p w:rsidR="00000000" w:rsidDel="00000000" w:rsidP="00000000" w:rsidRDefault="00000000" w:rsidRPr="00000000" w14:paraId="000000F8">
    <w:pPr>
      <w:tabs>
        <w:tab w:val="center" w:leader="none" w:pos="4680"/>
        <w:tab w:val="right" w:leader="none" w:pos="9360"/>
      </w:tabs>
      <w:spacing w:line="240" w:lineRule="auto"/>
      <w:rPr>
        <w:sz w:val="14"/>
        <w:szCs w:val="14"/>
      </w:rPr>
    </w:pPr>
    <w:r w:rsidDel="00000000" w:rsidR="00000000" w:rsidRPr="00000000">
      <w:rPr>
        <w:sz w:val="14"/>
        <w:szCs w:val="14"/>
        <w:rtl w:val="0"/>
      </w:rPr>
      <w:t xml:space="preserve">D. M. Lantican Avenue, University of the Philippines Los Baños, Laguna 4031, Philippines</w:t>
    </w:r>
  </w:p>
  <w:p w:rsidR="00000000" w:rsidDel="00000000" w:rsidP="00000000" w:rsidRDefault="00000000" w:rsidRPr="00000000" w14:paraId="000000F9">
    <w:pPr>
      <w:tabs>
        <w:tab w:val="center" w:leader="none" w:pos="4680"/>
        <w:tab w:val="right" w:leader="none" w:pos="9360"/>
      </w:tabs>
      <w:spacing w:line="240" w:lineRule="auto"/>
      <w:rPr>
        <w:sz w:val="14"/>
        <w:szCs w:val="14"/>
      </w:rPr>
    </w:pPr>
    <w:r w:rsidDel="00000000" w:rsidR="00000000" w:rsidRPr="00000000">
      <w:rPr>
        <w:sz w:val="14"/>
        <w:szCs w:val="14"/>
        <w:rtl w:val="0"/>
      </w:rPr>
      <w:t xml:space="preserve">    +6349 536-2865; +632 584-4210          </w:t>
    </w:r>
    <w:hyperlink r:id="rId3">
      <w:r w:rsidDel="00000000" w:rsidR="00000000" w:rsidRPr="00000000">
        <w:rPr>
          <w:sz w:val="14"/>
          <w:szCs w:val="14"/>
          <w:rtl w:val="0"/>
        </w:rPr>
        <w:t xml:space="preserve">www.aseanbiodiversity.org</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1552575</wp:posOffset>
          </wp:positionH>
          <wp:positionV relativeFrom="paragraph">
            <wp:posOffset>14604</wp:posOffset>
          </wp:positionV>
          <wp:extent cx="76835" cy="76835"/>
          <wp:effectExtent b="0" l="0" r="0" t="0"/>
          <wp:wrapNone/>
          <wp:docPr id="94"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76835" cy="768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wp:posOffset>
          </wp:positionH>
          <wp:positionV relativeFrom="paragraph">
            <wp:posOffset>16510</wp:posOffset>
          </wp:positionV>
          <wp:extent cx="75600" cy="75600"/>
          <wp:effectExtent b="0" l="0" r="0" t="0"/>
          <wp:wrapNone/>
          <wp:docPr id="93"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75600" cy="75600"/>
                  </a:xfrm>
                  <a:prstGeom prst="rect"/>
                  <a:ln/>
                </pic:spPr>
              </pic:pic>
            </a:graphicData>
          </a:graphic>
        </wp:anchor>
      </w:drawing>
    </w:r>
  </w:p>
  <w:p w:rsidR="00000000" w:rsidDel="00000000" w:rsidP="00000000" w:rsidRDefault="00000000" w:rsidRPr="00000000" w14:paraId="000000FA">
    <w:pPr>
      <w:tabs>
        <w:tab w:val="center" w:leader="none" w:pos="4680"/>
        <w:tab w:val="right" w:leader="none" w:pos="9360"/>
      </w:tabs>
      <w:spacing w:line="240" w:lineRule="auto"/>
      <w:rPr>
        <w:sz w:val="14"/>
        <w:szCs w:val="14"/>
      </w:rPr>
    </w:pPr>
    <w:r w:rsidDel="00000000" w:rsidR="00000000" w:rsidRPr="00000000">
      <w:rPr>
        <w:rtl w:val="0"/>
      </w:rPr>
    </w:r>
  </w:p>
  <w:p w:rsidR="00000000" w:rsidDel="00000000" w:rsidP="00000000" w:rsidRDefault="00000000" w:rsidRPr="00000000" w14:paraId="000000FB">
    <w:pPr>
      <w:tabs>
        <w:tab w:val="center" w:leader="none" w:pos="4680"/>
        <w:tab w:val="right" w:leader="none" w:pos="9360"/>
      </w:tabs>
      <w:spacing w:line="240" w:lineRule="auto"/>
      <w:rPr/>
    </w:pPr>
    <w:r w:rsidDel="00000000" w:rsidR="00000000" w:rsidRPr="00000000">
      <w:rPr>
        <w:sz w:val="12"/>
        <w:szCs w:val="12"/>
        <w:rtl w:val="0"/>
      </w:rPr>
      <w:t xml:space="preserve">  ASEAN Centre for Biodiversity         ASEANBiodiversity          ABiodiversity          TheASEANBiodiversity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2028627</wp:posOffset>
          </wp:positionH>
          <wp:positionV relativeFrom="paragraph">
            <wp:posOffset>12065</wp:posOffset>
          </wp:positionV>
          <wp:extent cx="78105" cy="64770"/>
          <wp:effectExtent b="0" l="0" r="0" t="0"/>
          <wp:wrapNone/>
          <wp:docPr id="89"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78105" cy="647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1181735</wp:posOffset>
          </wp:positionH>
          <wp:positionV relativeFrom="paragraph">
            <wp:posOffset>10795</wp:posOffset>
          </wp:positionV>
          <wp:extent cx="64770" cy="64770"/>
          <wp:effectExtent b="0" l="0" r="0" t="0"/>
          <wp:wrapNone/>
          <wp:docPr id="8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64770" cy="647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4456</wp:posOffset>
          </wp:positionH>
          <wp:positionV relativeFrom="paragraph">
            <wp:posOffset>10160</wp:posOffset>
          </wp:positionV>
          <wp:extent cx="29845" cy="64770"/>
          <wp:effectExtent b="0" l="0" r="0" t="0"/>
          <wp:wrapNone/>
          <wp:docPr id="8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9845" cy="647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2685209</wp:posOffset>
          </wp:positionH>
          <wp:positionV relativeFrom="paragraph">
            <wp:posOffset>17145</wp:posOffset>
          </wp:positionV>
          <wp:extent cx="74295" cy="52070"/>
          <wp:effectExtent b="0" l="0" r="0" t="0"/>
          <wp:wrapNone/>
          <wp:docPr id="88"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74295" cy="5207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tabs>
        <w:tab w:val="center" w:leader="none" w:pos="4680"/>
        <w:tab w:val="right" w:leader="none" w:pos="9360"/>
        <w:tab w:val="left" w:leader="none" w:pos="1808"/>
        <w:tab w:val="left" w:leader="none" w:pos="6028"/>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F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-842960</wp:posOffset>
              </wp:positionH>
              <wp:positionV relativeFrom="paragraph">
                <wp:posOffset>681038</wp:posOffset>
              </wp:positionV>
              <wp:extent cx="7453313" cy="238125"/>
              <wp:effectExtent b="0" l="0" r="0" t="0"/>
              <wp:wrapNone/>
              <wp:docPr id="84" name=""/>
              <a:graphic>
                <a:graphicData uri="http://schemas.microsoft.com/office/word/2010/wordprocessingShape">
                  <wps:wsp>
                    <wps:cNvSpPr/>
                    <wps:cNvPr id="4" name="Shape 4"/>
                    <wps:spPr>
                      <a:xfrm>
                        <a:off x="1641728" y="3744123"/>
                        <a:ext cx="7408545" cy="71755"/>
                      </a:xfrm>
                      <a:prstGeom prst="rect">
                        <a:avLst/>
                      </a:prstGeom>
                      <a:solidFill>
                        <a:srgbClr val="00528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-842960</wp:posOffset>
              </wp:positionH>
              <wp:positionV relativeFrom="paragraph">
                <wp:posOffset>681038</wp:posOffset>
              </wp:positionV>
              <wp:extent cx="7453313" cy="238125"/>
              <wp:effectExtent b="0" l="0" r="0" t="0"/>
              <wp:wrapNone/>
              <wp:docPr id="84"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7453313" cy="2381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spacing w:line="240" w:lineRule="auto"/>
      <w:jc w:val="right"/>
      <w:rPr>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-842960</wp:posOffset>
              </wp:positionH>
              <wp:positionV relativeFrom="paragraph">
                <wp:posOffset>-360360</wp:posOffset>
              </wp:positionV>
              <wp:extent cx="7453313" cy="238125"/>
              <wp:effectExtent b="0" l="0" r="0" t="0"/>
              <wp:wrapNone/>
              <wp:docPr id="83" name=""/>
              <a:graphic>
                <a:graphicData uri="http://schemas.microsoft.com/office/word/2010/wordprocessingShape">
                  <wps:wsp>
                    <wps:cNvSpPr/>
                    <wps:cNvPr id="3" name="Shape 3"/>
                    <wps:spPr>
                      <a:xfrm>
                        <a:off x="1641728" y="3744123"/>
                        <a:ext cx="7408545" cy="71755"/>
                      </a:xfrm>
                      <a:prstGeom prst="rect">
                        <a:avLst/>
                      </a:prstGeom>
                      <a:solidFill>
                        <a:srgbClr val="00528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-842960</wp:posOffset>
              </wp:positionH>
              <wp:positionV relativeFrom="paragraph">
                <wp:posOffset>-360360</wp:posOffset>
              </wp:positionV>
              <wp:extent cx="7453313" cy="238125"/>
              <wp:effectExtent b="0" l="0" r="0" t="0"/>
              <wp:wrapNone/>
              <wp:docPr id="83"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7453313" cy="238125"/>
                      </a:xfrm>
                      <a:prstGeom prst="rect"/>
                      <a:ln/>
                    </pic:spPr>
                  </pic:pic>
                </a:graphicData>
              </a:graphic>
            </wp:anchor>
          </w:drawing>
        </mc:Fallback>
      </mc:AlternateContent>
    </w:r>
  </w:p>
  <w:p w:rsidR="00000000" w:rsidDel="00000000" w:rsidP="00000000" w:rsidRDefault="00000000" w:rsidRPr="00000000" w14:paraId="000000E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spacing w:line="240" w:lineRule="auto"/>
      <w:ind w:right="-624"/>
      <w:jc w:val="right"/>
      <w:rPr>
        <w:sz w:val="14"/>
        <w:szCs w:val="14"/>
      </w:rPr>
    </w:pPr>
    <w:r w:rsidDel="00000000" w:rsidR="00000000" w:rsidRPr="00000000">
      <w:rPr>
        <w:sz w:val="14"/>
        <w:szCs w:val="14"/>
        <w:rtl w:val="0"/>
      </w:rPr>
      <w:t xml:space="preserve"> D. M. Lantican Avenue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-842960</wp:posOffset>
              </wp:positionH>
              <wp:positionV relativeFrom="paragraph">
                <wp:posOffset>-398460</wp:posOffset>
              </wp:positionV>
              <wp:extent cx="7453313" cy="238125"/>
              <wp:effectExtent b="0" l="0" r="0" t="0"/>
              <wp:wrapNone/>
              <wp:docPr id="82" name=""/>
              <a:graphic>
                <a:graphicData uri="http://schemas.microsoft.com/office/word/2010/wordprocessingShape">
                  <wps:wsp>
                    <wps:cNvSpPr/>
                    <wps:cNvPr id="2" name="Shape 2"/>
                    <wps:spPr>
                      <a:xfrm>
                        <a:off x="1641728" y="3744123"/>
                        <a:ext cx="7408545" cy="71755"/>
                      </a:xfrm>
                      <a:prstGeom prst="rect">
                        <a:avLst/>
                      </a:prstGeom>
                      <a:solidFill>
                        <a:srgbClr val="00528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-842960</wp:posOffset>
              </wp:positionH>
              <wp:positionV relativeFrom="paragraph">
                <wp:posOffset>-398460</wp:posOffset>
              </wp:positionV>
              <wp:extent cx="7453313" cy="238125"/>
              <wp:effectExtent b="0" l="0" r="0" t="0"/>
              <wp:wrapNone/>
              <wp:docPr id="82"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453313"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-460361</wp:posOffset>
          </wp:positionH>
          <wp:positionV relativeFrom="paragraph">
            <wp:posOffset>-118730</wp:posOffset>
          </wp:positionV>
          <wp:extent cx="2991485" cy="719455"/>
          <wp:effectExtent b="0" l="0" r="0" t="0"/>
          <wp:wrapNone/>
          <wp:docPr id="96"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991485" cy="719455"/>
                  </a:xfrm>
                  <a:prstGeom prst="rect"/>
                  <a:ln/>
                </pic:spPr>
              </pic:pic>
            </a:graphicData>
          </a:graphic>
        </wp:anchor>
      </w:drawing>
    </w:r>
  </w:p>
  <w:p w:rsidR="00000000" w:rsidDel="00000000" w:rsidP="00000000" w:rsidRDefault="00000000" w:rsidRPr="00000000" w14:paraId="000000ED">
    <w:pPr>
      <w:spacing w:line="240" w:lineRule="auto"/>
      <w:ind w:right="-624"/>
      <w:jc w:val="right"/>
      <w:rPr>
        <w:sz w:val="14"/>
        <w:szCs w:val="14"/>
      </w:rPr>
    </w:pPr>
    <w:r w:rsidDel="00000000" w:rsidR="00000000" w:rsidRPr="00000000">
      <w:rPr>
        <w:sz w:val="14"/>
        <w:szCs w:val="14"/>
        <w:rtl w:val="0"/>
      </w:rPr>
      <w:t xml:space="preserve">University of the Philippines Los Baños</w:t>
    </w:r>
  </w:p>
  <w:p w:rsidR="00000000" w:rsidDel="00000000" w:rsidP="00000000" w:rsidRDefault="00000000" w:rsidRPr="00000000" w14:paraId="000000EE">
    <w:pPr>
      <w:spacing w:line="240" w:lineRule="auto"/>
      <w:ind w:right="-624"/>
      <w:jc w:val="right"/>
      <w:rPr>
        <w:sz w:val="14"/>
        <w:szCs w:val="14"/>
      </w:rPr>
    </w:pPr>
    <w:r w:rsidDel="00000000" w:rsidR="00000000" w:rsidRPr="00000000">
      <w:rPr>
        <w:sz w:val="14"/>
        <w:szCs w:val="14"/>
        <w:rtl w:val="0"/>
      </w:rPr>
      <w:t xml:space="preserve">Laguna 4031, Philippines</w:t>
    </w:r>
  </w:p>
  <w:p w:rsidR="00000000" w:rsidDel="00000000" w:rsidP="00000000" w:rsidRDefault="00000000" w:rsidRPr="00000000" w14:paraId="000000EF">
    <w:pPr>
      <w:spacing w:line="240" w:lineRule="auto"/>
      <w:ind w:right="-624"/>
      <w:jc w:val="right"/>
      <w:rPr>
        <w:sz w:val="14"/>
        <w:szCs w:val="14"/>
      </w:rPr>
    </w:pPr>
    <w:r w:rsidDel="00000000" w:rsidR="00000000" w:rsidRPr="00000000">
      <w:rPr>
        <w:sz w:val="14"/>
        <w:szCs w:val="14"/>
        <w:rtl w:val="0"/>
      </w:rPr>
      <w:t xml:space="preserve">+6349 536-2865; +632 584-4210</w:t>
    </w:r>
    <w:r w:rsidDel="00000000" w:rsidR="00000000" w:rsidRPr="00000000">
      <w:drawing>
        <wp:anchor allowOverlap="1" behindDoc="0" distB="0" distT="0" distL="114300" distR="114300" hidden="0" layoutInCell="1" locked="0" relativeHeight="0" simplePos="0">
          <wp:simplePos x="0" y="0"/>
          <wp:positionH relativeFrom="column">
            <wp:posOffset>4713828</wp:posOffset>
          </wp:positionH>
          <wp:positionV relativeFrom="paragraph">
            <wp:posOffset>11430</wp:posOffset>
          </wp:positionV>
          <wp:extent cx="87404" cy="87404"/>
          <wp:effectExtent b="0" l="0" r="0" t="0"/>
          <wp:wrapNone/>
          <wp:docPr id="9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87404" cy="87404"/>
                  </a:xfrm>
                  <a:prstGeom prst="rect"/>
                  <a:ln/>
                </pic:spPr>
              </pic:pic>
            </a:graphicData>
          </a:graphic>
        </wp:anchor>
      </w:drawing>
    </w:r>
  </w:p>
  <w:p w:rsidR="00000000" w:rsidDel="00000000" w:rsidP="00000000" w:rsidRDefault="00000000" w:rsidRPr="00000000" w14:paraId="000000F0">
    <w:pPr>
      <w:spacing w:line="240" w:lineRule="auto"/>
      <w:ind w:right="-624"/>
      <w:jc w:val="right"/>
      <w:rPr>
        <w:sz w:val="14"/>
        <w:szCs w:val="14"/>
      </w:rPr>
    </w:pPr>
    <w:r w:rsidDel="00000000" w:rsidR="00000000" w:rsidRPr="00000000">
      <w:rPr>
        <w:color w:val="0092c3"/>
        <w:sz w:val="14"/>
        <w:szCs w:val="14"/>
        <w:rtl w:val="0"/>
      </w:rPr>
      <w:t xml:space="preserve"> </w:t>
    </w:r>
    <w:r w:rsidDel="00000000" w:rsidR="00000000" w:rsidRPr="00000000">
      <w:rPr>
        <w:sz w:val="14"/>
        <w:szCs w:val="14"/>
        <w:rtl w:val="0"/>
      </w:rPr>
      <w:t xml:space="preserve">www.aseanbiodiversity.org</w:t>
    </w:r>
    <w:r w:rsidDel="00000000" w:rsidR="00000000" w:rsidRPr="00000000">
      <w:drawing>
        <wp:anchor allowOverlap="1" behindDoc="0" distB="0" distT="0" distL="114300" distR="114300" hidden="0" layoutInCell="1" locked="0" relativeHeight="0" simplePos="0">
          <wp:simplePos x="0" y="0"/>
          <wp:positionH relativeFrom="column">
            <wp:posOffset>4943698</wp:posOffset>
          </wp:positionH>
          <wp:positionV relativeFrom="paragraph">
            <wp:posOffset>16510</wp:posOffset>
          </wp:positionV>
          <wp:extent cx="84455" cy="84455"/>
          <wp:effectExtent b="0" l="0" r="0" t="0"/>
          <wp:wrapNone/>
          <wp:docPr id="92"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84455" cy="84455"/>
                  </a:xfrm>
                  <a:prstGeom prst="rect"/>
                  <a:ln/>
                </pic:spPr>
              </pic:pic>
            </a:graphicData>
          </a:graphic>
        </wp:anchor>
      </w:drawing>
    </w:r>
  </w:p>
  <w:p w:rsidR="00000000" w:rsidDel="00000000" w:rsidP="00000000" w:rsidRDefault="00000000" w:rsidRPr="00000000" w14:paraId="000000F1">
    <w:pPr>
      <w:spacing w:line="240" w:lineRule="auto"/>
      <w:jc w:val="right"/>
      <w:rPr>
        <w:sz w:val="14"/>
        <w:szCs w:val="14"/>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0"/>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hc.unesco.org/en/tentativelists/6716/"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ean.chm-cbd.net/agusan-marsh-wildlife-sanctuary" TargetMode="External"/><Relationship Id="rId8" Type="http://schemas.openxmlformats.org/officeDocument/2006/relationships/hyperlink" Target="https://datazone.birdlife.org/site/factsheet/agusan-mars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4.png"/><Relationship Id="rId3" Type="http://schemas.openxmlformats.org/officeDocument/2006/relationships/hyperlink" Target="http://www.aseanbiodiversity.org" TargetMode="External"/><Relationship Id="rId4" Type="http://schemas.openxmlformats.org/officeDocument/2006/relationships/image" Target="media/image2.png"/><Relationship Id="rId9" Type="http://schemas.openxmlformats.org/officeDocument/2006/relationships/image" Target="media/image6.png"/><Relationship Id="rId5" Type="http://schemas.openxmlformats.org/officeDocument/2006/relationships/image" Target="media/image1.png"/><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4.png"/><Relationship Id="rId3"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IbtVx4RqhjfVoKHS4a5h/7tCGw==">CgMxLjAaHwoBMBIaChgICVIUChJ0YWJsZS5vd2t4cTNhZnlpenQ4AHIhMXJaT05iWmdiZHVCeW8zem1UMjk0TTZSNklIQ1BRWmhM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