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1229C4" w14:textId="77777777" w:rsidR="00D84A19" w:rsidRDefault="008024E4">
      <w:pPr>
        <w:rPr>
          <w:rFonts w:ascii="Arial" w:eastAsia="Arial" w:hAnsi="Arial" w:cs="Arial"/>
          <w:b/>
          <w:bCs/>
          <w:sz w:val="22"/>
          <w:szCs w:val="22"/>
        </w:rPr>
      </w:pPr>
      <w:bookmarkStart w:id="0" w:name="_GoBack"/>
      <w:bookmarkEnd w:id="0"/>
      <w:r>
        <w:rPr>
          <w:rFonts w:ascii="Arial" w:eastAsia="Arial" w:hAnsi="Arial" w:cs="Arial"/>
          <w:b/>
          <w:bCs/>
          <w:sz w:val="22"/>
          <w:szCs w:val="22"/>
        </w:rPr>
        <w:tab/>
      </w:r>
      <w:r>
        <w:rPr>
          <w:rFonts w:ascii="Arial" w:eastAsia="Arial" w:hAnsi="Arial" w:cs="Arial"/>
          <w:b/>
          <w:bCs/>
          <w:sz w:val="22"/>
          <w:szCs w:val="22"/>
        </w:rPr>
        <w:tab/>
      </w:r>
      <w:r>
        <w:rPr>
          <w:rFonts w:ascii="Arial" w:eastAsia="Arial" w:hAnsi="Arial" w:cs="Arial"/>
          <w:b/>
          <w:bCs/>
          <w:sz w:val="22"/>
          <w:szCs w:val="22"/>
        </w:rPr>
        <w:tab/>
      </w:r>
      <w:r>
        <w:rPr>
          <w:rFonts w:ascii="Arial" w:eastAsia="Arial" w:hAnsi="Arial" w:cs="Arial"/>
          <w:b/>
          <w:bCs/>
          <w:sz w:val="22"/>
          <w:szCs w:val="22"/>
        </w:rPr>
        <w:tab/>
      </w:r>
      <w:r>
        <w:rPr>
          <w:rFonts w:ascii="Arial" w:eastAsia="Arial" w:hAnsi="Arial" w:cs="Arial"/>
          <w:b/>
          <w:bCs/>
          <w:sz w:val="22"/>
          <w:szCs w:val="22"/>
        </w:rPr>
        <w:tab/>
      </w:r>
      <w:r>
        <w:rPr>
          <w:rFonts w:ascii="Arial" w:eastAsia="Arial" w:hAnsi="Arial" w:cs="Arial"/>
          <w:b/>
          <w:bCs/>
          <w:sz w:val="22"/>
          <w:szCs w:val="22"/>
        </w:rPr>
        <w:tab/>
      </w:r>
      <w:r>
        <w:rPr>
          <w:rFonts w:ascii="Arial" w:eastAsia="Arial" w:hAnsi="Arial" w:cs="Arial"/>
          <w:b/>
          <w:bCs/>
          <w:sz w:val="22"/>
          <w:szCs w:val="22"/>
        </w:rPr>
        <w:tab/>
      </w:r>
      <w:r>
        <w:rPr>
          <w:rFonts w:ascii="Arial" w:eastAsia="Arial" w:hAnsi="Arial" w:cs="Arial"/>
          <w:b/>
          <w:bCs/>
          <w:sz w:val="22"/>
          <w:szCs w:val="22"/>
        </w:rPr>
        <w:tab/>
      </w:r>
      <w:r>
        <w:rPr>
          <w:rFonts w:ascii="Arial" w:eastAsia="Arial" w:hAnsi="Arial" w:cs="Arial"/>
          <w:b/>
          <w:bCs/>
          <w:sz w:val="22"/>
          <w:szCs w:val="22"/>
        </w:rPr>
        <w:tab/>
      </w:r>
      <w:r>
        <w:rPr>
          <w:rFonts w:ascii="Arial" w:eastAsia="Arial" w:hAnsi="Arial" w:cs="Arial"/>
          <w:b/>
          <w:bCs/>
          <w:sz w:val="22"/>
          <w:szCs w:val="22"/>
        </w:rPr>
        <w:tab/>
      </w:r>
      <w:r>
        <w:rPr>
          <w:rFonts w:ascii="Arial" w:eastAsia="Arial" w:hAnsi="Arial" w:cs="Arial"/>
          <w:b/>
          <w:bCs/>
          <w:sz w:val="22"/>
          <w:szCs w:val="22"/>
        </w:rPr>
        <w:tab/>
      </w:r>
      <w:proofErr w:type="gramStart"/>
      <w:r>
        <w:rPr>
          <w:rFonts w:ascii="Arial" w:eastAsia="Arial" w:hAnsi="Arial" w:cs="Arial"/>
          <w:b/>
          <w:bCs/>
          <w:sz w:val="22"/>
          <w:szCs w:val="22"/>
        </w:rPr>
        <w:t>Annex  A.</w:t>
      </w:r>
      <w:proofErr w:type="gramEnd"/>
      <w:r>
        <w:rPr>
          <w:rFonts w:ascii="Arial" w:eastAsia="Arial" w:hAnsi="Arial" w:cs="Arial"/>
          <w:b/>
          <w:bCs/>
          <w:sz w:val="22"/>
          <w:szCs w:val="22"/>
        </w:rPr>
        <w:t xml:space="preserve"> </w:t>
      </w:r>
    </w:p>
    <w:p w14:paraId="29D92D67" w14:textId="77777777" w:rsidR="00D84A19" w:rsidRDefault="008024E4">
      <w:pPr>
        <w:rPr>
          <w:rFonts w:ascii="Arial" w:eastAsia="Arial" w:hAnsi="Arial" w:cs="Arial"/>
          <w:b/>
          <w:bCs/>
          <w:sz w:val="22"/>
          <w:szCs w:val="22"/>
        </w:rPr>
      </w:pPr>
      <w:r>
        <w:rPr>
          <w:rFonts w:ascii="Arial" w:eastAsia="Arial" w:hAnsi="Arial" w:cs="Arial"/>
          <w:b/>
          <w:bCs/>
          <w:sz w:val="22"/>
          <w:szCs w:val="22"/>
        </w:rPr>
        <w:t>Terms of Reference:</w:t>
      </w:r>
    </w:p>
    <w:p w14:paraId="0BAFA329" w14:textId="77777777" w:rsidR="00D84A19" w:rsidRDefault="00D84A19">
      <w:pPr>
        <w:rPr>
          <w:rFonts w:ascii="Arial" w:eastAsia="Arial" w:hAnsi="Arial" w:cs="Arial"/>
          <w:sz w:val="22"/>
          <w:szCs w:val="22"/>
        </w:rPr>
      </w:pPr>
    </w:p>
    <w:p w14:paraId="6C130E18" w14:textId="77777777" w:rsidR="00D84A19" w:rsidRDefault="008024E4">
      <w:pPr>
        <w:rPr>
          <w:rFonts w:ascii="Arial" w:eastAsia="Arial" w:hAnsi="Arial" w:cs="Arial"/>
          <w:sz w:val="22"/>
          <w:szCs w:val="22"/>
        </w:rPr>
      </w:pPr>
      <w:r>
        <w:rPr>
          <w:rFonts w:ascii="Arial" w:eastAsia="Arial" w:hAnsi="Arial" w:cs="Arial"/>
          <w:sz w:val="22"/>
          <w:szCs w:val="22"/>
        </w:rPr>
        <w:t>Title: Consultancy Firm for the Review of Governance Mechanisms and Financial Sustainability for MPA Networks and Marine Corridors in the Philippines</w:t>
      </w:r>
    </w:p>
    <w:p w14:paraId="3210A362" w14:textId="77777777" w:rsidR="00D84A19" w:rsidRDefault="00D84A19">
      <w:pPr>
        <w:rPr>
          <w:rFonts w:ascii="Arial" w:eastAsia="Arial" w:hAnsi="Arial" w:cs="Arial"/>
          <w:sz w:val="22"/>
          <w:szCs w:val="22"/>
        </w:rPr>
      </w:pPr>
    </w:p>
    <w:p w14:paraId="4358B966" w14:textId="77777777" w:rsidR="00D84A19" w:rsidRDefault="008024E4">
      <w:pPr>
        <w:rPr>
          <w:rFonts w:ascii="Arial" w:eastAsia="Arial" w:hAnsi="Arial" w:cs="Arial"/>
          <w:sz w:val="22"/>
          <w:szCs w:val="22"/>
        </w:rPr>
      </w:pPr>
      <w:r>
        <w:rPr>
          <w:rFonts w:ascii="Arial" w:eastAsia="Arial" w:hAnsi="Arial" w:cs="Arial"/>
          <w:sz w:val="22"/>
          <w:szCs w:val="22"/>
        </w:rPr>
        <w:t xml:space="preserve">The effective management of Marine Protected Area Networks </w:t>
      </w:r>
      <w:r>
        <w:rPr>
          <w:rFonts w:ascii="Arial" w:eastAsia="Arial" w:hAnsi="Arial" w:cs="Arial"/>
          <w:sz w:val="22"/>
          <w:szCs w:val="22"/>
        </w:rPr>
        <w:t>(MPANs) and associated marine corridors in the Philippines requires coordinated governance and sustainable financing beyond the capacities of individual LGUs. Currently, funding is largely LGU-dependent, which is often inadequate and inconsistent across ju</w:t>
      </w:r>
      <w:r>
        <w:rPr>
          <w:rFonts w:ascii="Arial" w:eastAsia="Arial" w:hAnsi="Arial" w:cs="Arial"/>
          <w:sz w:val="22"/>
          <w:szCs w:val="22"/>
        </w:rPr>
        <w:t xml:space="preserve">risdictions. Strengthening governance mechanisms through inter-LGU cooperation and exploring financing options such as environmental user fees, pooled funds, and trust mechanisms is essential for long-term management. Recognizing marine corridors as Other </w:t>
      </w:r>
      <w:r>
        <w:rPr>
          <w:rFonts w:ascii="Arial" w:eastAsia="Arial" w:hAnsi="Arial" w:cs="Arial"/>
          <w:sz w:val="22"/>
          <w:szCs w:val="22"/>
        </w:rPr>
        <w:t>Effective Area-Based Conservation Measures (OECMs) may provide additional institutional and financial leverage. This consultancy will help identify and recommend viable governance and financing models to support resilient and functional MPANs and marine co</w:t>
      </w:r>
      <w:r>
        <w:rPr>
          <w:rFonts w:ascii="Arial" w:eastAsia="Arial" w:hAnsi="Arial" w:cs="Arial"/>
          <w:sz w:val="22"/>
          <w:szCs w:val="22"/>
        </w:rPr>
        <w:t>rridors.</w:t>
      </w:r>
    </w:p>
    <w:p w14:paraId="3DCD4CE1" w14:textId="77777777" w:rsidR="00D84A19" w:rsidRDefault="00D84A19">
      <w:pPr>
        <w:rPr>
          <w:rFonts w:ascii="Arial" w:eastAsia="Arial" w:hAnsi="Arial" w:cs="Arial"/>
          <w:sz w:val="22"/>
          <w:szCs w:val="22"/>
        </w:rPr>
      </w:pPr>
    </w:p>
    <w:p w14:paraId="080B30E1" w14:textId="77777777" w:rsidR="00D84A19" w:rsidRDefault="00D84A19">
      <w:pPr>
        <w:rPr>
          <w:rFonts w:ascii="Arial" w:eastAsia="Arial" w:hAnsi="Arial" w:cs="Arial"/>
          <w:sz w:val="22"/>
          <w:szCs w:val="22"/>
        </w:rPr>
      </w:pPr>
    </w:p>
    <w:p w14:paraId="305ED2C0" w14:textId="77777777" w:rsidR="00D84A19" w:rsidRDefault="008024E4">
      <w:pPr>
        <w:rPr>
          <w:rFonts w:ascii="Arial" w:eastAsia="Arial" w:hAnsi="Arial" w:cs="Arial"/>
          <w:sz w:val="22"/>
          <w:szCs w:val="22"/>
        </w:rPr>
      </w:pPr>
      <w:r>
        <w:rPr>
          <w:rFonts w:ascii="Arial" w:eastAsia="Arial" w:hAnsi="Arial" w:cs="Arial"/>
          <w:sz w:val="22"/>
          <w:szCs w:val="22"/>
        </w:rPr>
        <w:t>This activity will:</w:t>
      </w:r>
    </w:p>
    <w:p w14:paraId="40C7CD44" w14:textId="77777777" w:rsidR="00D84A19" w:rsidRDefault="00D84A19">
      <w:pPr>
        <w:rPr>
          <w:rFonts w:ascii="Arial" w:eastAsia="Arial" w:hAnsi="Arial" w:cs="Arial"/>
          <w:sz w:val="22"/>
          <w:szCs w:val="22"/>
        </w:rPr>
      </w:pPr>
    </w:p>
    <w:p w14:paraId="4C1A8869" w14:textId="77777777" w:rsidR="00D84A19" w:rsidRDefault="008024E4">
      <w:pPr>
        <w:numPr>
          <w:ilvl w:val="0"/>
          <w:numId w:val="4"/>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Assess the legal, institutional, and fiscal viability of network-level governance arrangements</w:t>
      </w:r>
      <w:r>
        <w:rPr>
          <w:rFonts w:ascii="Arial" w:eastAsia="Arial" w:hAnsi="Arial" w:cs="Arial"/>
          <w:sz w:val="22"/>
          <w:szCs w:val="22"/>
        </w:rPr>
        <w:t xml:space="preserve"> </w:t>
      </w:r>
    </w:p>
    <w:p w14:paraId="30F014C3" w14:textId="77777777" w:rsidR="00D84A19" w:rsidRDefault="00D84A19">
      <w:pPr>
        <w:pBdr>
          <w:top w:val="nil"/>
          <w:left w:val="nil"/>
          <w:bottom w:val="nil"/>
          <w:right w:val="nil"/>
          <w:between w:val="nil"/>
        </w:pBdr>
        <w:ind w:left="720"/>
        <w:rPr>
          <w:rFonts w:ascii="Arial" w:eastAsia="Arial" w:hAnsi="Arial" w:cs="Arial"/>
          <w:sz w:val="22"/>
          <w:szCs w:val="22"/>
        </w:rPr>
      </w:pPr>
    </w:p>
    <w:p w14:paraId="055956E8" w14:textId="77777777" w:rsidR="00D84A19" w:rsidRDefault="008024E4">
      <w:pPr>
        <w:numPr>
          <w:ilvl w:val="0"/>
          <w:numId w:val="4"/>
        </w:numPr>
        <w:pBdr>
          <w:top w:val="nil"/>
          <w:left w:val="nil"/>
          <w:bottom w:val="nil"/>
          <w:right w:val="nil"/>
          <w:between w:val="nil"/>
        </w:pBdr>
        <w:rPr>
          <w:rFonts w:ascii="Arial" w:eastAsia="Arial" w:hAnsi="Arial" w:cs="Arial"/>
          <w:color w:val="000000"/>
          <w:sz w:val="22"/>
          <w:szCs w:val="22"/>
        </w:rPr>
      </w:pPr>
      <w:r>
        <w:rPr>
          <w:rFonts w:ascii="Arial" w:eastAsia="Arial" w:hAnsi="Arial" w:cs="Arial"/>
          <w:sz w:val="22"/>
          <w:szCs w:val="22"/>
        </w:rPr>
        <w:t>Identify gaps and challenges in existing governance and financing mechanisms of MPAs and MPANs and e</w:t>
      </w:r>
      <w:r>
        <w:rPr>
          <w:rFonts w:ascii="Arial" w:eastAsia="Arial" w:hAnsi="Arial" w:cs="Arial"/>
          <w:color w:val="000000"/>
          <w:sz w:val="22"/>
          <w:szCs w:val="22"/>
        </w:rPr>
        <w:t>xplore replicable and scala</w:t>
      </w:r>
      <w:r>
        <w:rPr>
          <w:rFonts w:ascii="Arial" w:eastAsia="Arial" w:hAnsi="Arial" w:cs="Arial"/>
          <w:color w:val="000000"/>
          <w:sz w:val="22"/>
          <w:szCs w:val="22"/>
        </w:rPr>
        <w:t>ble financing models for sustained MPAN management.</w:t>
      </w:r>
    </w:p>
    <w:p w14:paraId="4F67C27F" w14:textId="77777777" w:rsidR="00D84A19" w:rsidRDefault="00D84A19">
      <w:pPr>
        <w:rPr>
          <w:rFonts w:ascii="Arial" w:eastAsia="Arial" w:hAnsi="Arial" w:cs="Arial"/>
          <w:sz w:val="22"/>
          <w:szCs w:val="22"/>
        </w:rPr>
      </w:pPr>
    </w:p>
    <w:p w14:paraId="5A9D4F29" w14:textId="77777777" w:rsidR="00D84A19" w:rsidRDefault="008024E4">
      <w:pPr>
        <w:numPr>
          <w:ilvl w:val="0"/>
          <w:numId w:val="4"/>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Examine options to recognize marine corridors as OECMs to leverage additional policy and financial support.</w:t>
      </w:r>
    </w:p>
    <w:p w14:paraId="5FF2CD9B" w14:textId="77777777" w:rsidR="00D84A19" w:rsidRDefault="00D84A19">
      <w:pPr>
        <w:rPr>
          <w:rFonts w:ascii="Arial" w:eastAsia="Arial" w:hAnsi="Arial" w:cs="Arial"/>
          <w:sz w:val="22"/>
          <w:szCs w:val="22"/>
        </w:rPr>
      </w:pPr>
    </w:p>
    <w:p w14:paraId="00C69ADD" w14:textId="77777777" w:rsidR="00D84A19" w:rsidRDefault="008024E4">
      <w:pPr>
        <w:numPr>
          <w:ilvl w:val="0"/>
          <w:numId w:val="4"/>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Generate guidance for replication and policy integration into national frameworks (e.g., NIPAS</w:t>
      </w:r>
      <w:r>
        <w:rPr>
          <w:rFonts w:ascii="Arial" w:eastAsia="Arial" w:hAnsi="Arial" w:cs="Arial"/>
          <w:color w:val="000000"/>
          <w:sz w:val="22"/>
          <w:szCs w:val="22"/>
        </w:rPr>
        <w:t>, E-NIPAS, MPAN strategy, and BMB-BFAR joint frameworks).</w:t>
      </w:r>
    </w:p>
    <w:p w14:paraId="5E2FC4CF" w14:textId="77777777" w:rsidR="00D84A19" w:rsidRDefault="00D84A19">
      <w:pPr>
        <w:rPr>
          <w:rFonts w:ascii="Arial" w:eastAsia="Arial" w:hAnsi="Arial" w:cs="Arial"/>
          <w:sz w:val="22"/>
          <w:szCs w:val="22"/>
        </w:rPr>
      </w:pPr>
    </w:p>
    <w:p w14:paraId="699E1FB3" w14:textId="77777777" w:rsidR="00D84A19" w:rsidRDefault="008024E4">
      <w:pPr>
        <w:rPr>
          <w:rFonts w:ascii="Arial" w:eastAsia="Arial" w:hAnsi="Arial" w:cs="Arial"/>
          <w:b/>
          <w:bCs/>
          <w:sz w:val="22"/>
          <w:szCs w:val="22"/>
        </w:rPr>
      </w:pPr>
      <w:r>
        <w:rPr>
          <w:rFonts w:ascii="Arial" w:eastAsia="Arial" w:hAnsi="Arial" w:cs="Arial"/>
          <w:sz w:val="22"/>
          <w:szCs w:val="22"/>
        </w:rPr>
        <w:t>This activity is critical to secure the long-term ecological function of marine corridors and the socio-economic benefits for coastal stakeholders, including fishers, indigenous peoples, women, and</w:t>
      </w:r>
      <w:r>
        <w:rPr>
          <w:rFonts w:ascii="Arial" w:eastAsia="Arial" w:hAnsi="Arial" w:cs="Arial"/>
          <w:sz w:val="22"/>
          <w:szCs w:val="22"/>
        </w:rPr>
        <w:t xml:space="preserve"> youth, who depend on these resources.</w:t>
      </w:r>
      <w:r>
        <w:rPr>
          <w:rFonts w:ascii="Arial" w:eastAsia="Arial" w:hAnsi="Arial" w:cs="Arial"/>
          <w:sz w:val="22"/>
          <w:szCs w:val="22"/>
        </w:rPr>
        <w:br/>
      </w:r>
      <w:r>
        <w:rPr>
          <w:rFonts w:ascii="Arial" w:eastAsia="Arial" w:hAnsi="Arial" w:cs="Arial"/>
          <w:sz w:val="22"/>
          <w:szCs w:val="22"/>
        </w:rPr>
        <w:br/>
      </w:r>
      <w:r>
        <w:rPr>
          <w:rFonts w:ascii="Arial" w:eastAsia="Arial" w:hAnsi="Arial" w:cs="Arial"/>
          <w:b/>
          <w:bCs/>
          <w:sz w:val="22"/>
          <w:szCs w:val="22"/>
        </w:rPr>
        <w:t>Scope of Work</w:t>
      </w:r>
      <w:r>
        <w:rPr>
          <w:rFonts w:ascii="Arial" w:eastAsia="Arial" w:hAnsi="Arial" w:cs="Arial"/>
          <w:b/>
          <w:bCs/>
          <w:sz w:val="22"/>
          <w:szCs w:val="22"/>
        </w:rPr>
        <w:br/>
      </w:r>
    </w:p>
    <w:p w14:paraId="72330DE9" w14:textId="77777777" w:rsidR="00D84A19" w:rsidRDefault="008024E4">
      <w:pPr>
        <w:rPr>
          <w:rFonts w:ascii="Arial" w:eastAsia="Arial" w:hAnsi="Arial" w:cs="Arial"/>
          <w:sz w:val="22"/>
          <w:szCs w:val="22"/>
        </w:rPr>
      </w:pPr>
      <w:r>
        <w:rPr>
          <w:rFonts w:ascii="Arial" w:eastAsia="Arial" w:hAnsi="Arial" w:cs="Arial"/>
          <w:sz w:val="22"/>
          <w:szCs w:val="22"/>
        </w:rPr>
        <w:t>The Consultant will be responsible for the following tasks:</w:t>
      </w:r>
      <w:r>
        <w:rPr>
          <w:rFonts w:ascii="Arial" w:eastAsia="Arial" w:hAnsi="Arial" w:cs="Arial"/>
          <w:sz w:val="22"/>
          <w:szCs w:val="22"/>
        </w:rPr>
        <w:br/>
      </w:r>
    </w:p>
    <w:p w14:paraId="2BA99576" w14:textId="77777777" w:rsidR="00D84A19" w:rsidRDefault="008024E4">
      <w:pPr>
        <w:numPr>
          <w:ilvl w:val="0"/>
          <w:numId w:val="1"/>
        </w:numPr>
        <w:rPr>
          <w:rFonts w:ascii="Arial" w:eastAsia="Arial" w:hAnsi="Arial" w:cs="Arial"/>
          <w:sz w:val="22"/>
          <w:szCs w:val="22"/>
        </w:rPr>
      </w:pPr>
      <w:r>
        <w:rPr>
          <w:rFonts w:ascii="Arial" w:eastAsia="Arial" w:hAnsi="Arial" w:cs="Arial"/>
          <w:sz w:val="22"/>
          <w:szCs w:val="22"/>
        </w:rPr>
        <w:t>Review existing legal and institutional arrangements for MPANs and OECMs in the Philippines.</w:t>
      </w:r>
    </w:p>
    <w:p w14:paraId="23D7A669" w14:textId="77777777" w:rsidR="00D84A19" w:rsidRDefault="00D84A19">
      <w:pPr>
        <w:ind w:left="720"/>
        <w:rPr>
          <w:rFonts w:ascii="Arial" w:eastAsia="Arial" w:hAnsi="Arial" w:cs="Arial"/>
          <w:sz w:val="22"/>
          <w:szCs w:val="22"/>
        </w:rPr>
      </w:pPr>
    </w:p>
    <w:p w14:paraId="2317DC1E" w14:textId="77777777" w:rsidR="00D84A19" w:rsidRDefault="008024E4">
      <w:pPr>
        <w:numPr>
          <w:ilvl w:val="0"/>
          <w:numId w:val="1"/>
        </w:numPr>
        <w:rPr>
          <w:rFonts w:ascii="Arial" w:eastAsia="Arial" w:hAnsi="Arial" w:cs="Arial"/>
          <w:sz w:val="22"/>
          <w:szCs w:val="22"/>
        </w:rPr>
      </w:pPr>
      <w:r>
        <w:rPr>
          <w:rFonts w:ascii="Arial" w:eastAsia="Arial" w:hAnsi="Arial" w:cs="Arial"/>
          <w:sz w:val="22"/>
          <w:szCs w:val="22"/>
        </w:rPr>
        <w:t>Identify governance models used in other regio</w:t>
      </w:r>
      <w:r>
        <w:rPr>
          <w:rFonts w:ascii="Arial" w:eastAsia="Arial" w:hAnsi="Arial" w:cs="Arial"/>
          <w:sz w:val="22"/>
          <w:szCs w:val="22"/>
        </w:rPr>
        <w:t>ns or globally relevant to MPAN/corridor-scale management.</w:t>
      </w:r>
    </w:p>
    <w:p w14:paraId="656439CC" w14:textId="77777777" w:rsidR="00D84A19" w:rsidRDefault="00D84A19">
      <w:pPr>
        <w:ind w:left="720"/>
        <w:rPr>
          <w:rFonts w:ascii="Arial" w:eastAsia="Arial" w:hAnsi="Arial" w:cs="Arial"/>
          <w:sz w:val="22"/>
          <w:szCs w:val="22"/>
        </w:rPr>
      </w:pPr>
    </w:p>
    <w:p w14:paraId="510A2B36" w14:textId="77777777" w:rsidR="00D84A19" w:rsidRDefault="008024E4">
      <w:pPr>
        <w:numPr>
          <w:ilvl w:val="0"/>
          <w:numId w:val="1"/>
        </w:numPr>
        <w:rPr>
          <w:rFonts w:ascii="Arial" w:eastAsia="Arial" w:hAnsi="Arial" w:cs="Arial"/>
          <w:sz w:val="22"/>
          <w:szCs w:val="22"/>
        </w:rPr>
      </w:pPr>
      <w:r>
        <w:rPr>
          <w:rFonts w:ascii="Arial" w:eastAsia="Arial" w:hAnsi="Arial" w:cs="Arial"/>
          <w:sz w:val="22"/>
          <w:szCs w:val="22"/>
        </w:rPr>
        <w:t>Analyze current sources of funding, challenges, and gaps in sustaining MPAN operations.</w:t>
      </w:r>
    </w:p>
    <w:p w14:paraId="0E28AA3C" w14:textId="77777777" w:rsidR="00D84A19" w:rsidRDefault="00D84A19">
      <w:pPr>
        <w:ind w:left="720"/>
        <w:rPr>
          <w:rFonts w:ascii="Arial" w:eastAsia="Arial" w:hAnsi="Arial" w:cs="Arial"/>
          <w:sz w:val="22"/>
          <w:szCs w:val="22"/>
        </w:rPr>
      </w:pPr>
    </w:p>
    <w:p w14:paraId="49177DB0" w14:textId="77777777" w:rsidR="00D84A19" w:rsidRDefault="008024E4">
      <w:pPr>
        <w:numPr>
          <w:ilvl w:val="0"/>
          <w:numId w:val="1"/>
        </w:numPr>
        <w:rPr>
          <w:rFonts w:ascii="Arial" w:eastAsia="Arial" w:hAnsi="Arial" w:cs="Arial"/>
          <w:b/>
          <w:bCs/>
          <w:sz w:val="22"/>
          <w:szCs w:val="22"/>
        </w:rPr>
      </w:pPr>
      <w:r>
        <w:rPr>
          <w:rFonts w:ascii="Arial" w:eastAsia="Arial" w:hAnsi="Arial" w:cs="Arial"/>
          <w:sz w:val="22"/>
          <w:szCs w:val="22"/>
        </w:rPr>
        <w:t>Recommend governance and financing schemes applicable to Philippine marine corridors, particularly those al</w:t>
      </w:r>
      <w:r>
        <w:rPr>
          <w:rFonts w:ascii="Arial" w:eastAsia="Arial" w:hAnsi="Arial" w:cs="Arial"/>
          <w:sz w:val="22"/>
          <w:szCs w:val="22"/>
        </w:rPr>
        <w:t>igned with the ASEAN ENMAPS demonstration sites</w:t>
      </w:r>
      <w:r>
        <w:rPr>
          <w:rFonts w:ascii="Arial" w:eastAsia="Arial" w:hAnsi="Arial" w:cs="Arial"/>
          <w:b/>
          <w:bCs/>
          <w:sz w:val="22"/>
          <w:szCs w:val="22"/>
        </w:rPr>
        <w:t>.</w:t>
      </w:r>
    </w:p>
    <w:p w14:paraId="253DA421" w14:textId="77777777" w:rsidR="00D84A19" w:rsidRDefault="00D84A19">
      <w:pPr>
        <w:ind w:left="720"/>
        <w:rPr>
          <w:rFonts w:ascii="Arial" w:eastAsia="Arial" w:hAnsi="Arial" w:cs="Arial"/>
          <w:b/>
          <w:bCs/>
          <w:sz w:val="22"/>
          <w:szCs w:val="22"/>
        </w:rPr>
      </w:pPr>
    </w:p>
    <w:p w14:paraId="48CE3BA3" w14:textId="77777777" w:rsidR="00D84A19" w:rsidRDefault="008024E4">
      <w:pPr>
        <w:numPr>
          <w:ilvl w:val="0"/>
          <w:numId w:val="1"/>
        </w:numPr>
        <w:rPr>
          <w:rFonts w:ascii="Arial" w:eastAsia="Arial" w:hAnsi="Arial" w:cs="Arial"/>
          <w:sz w:val="22"/>
          <w:szCs w:val="22"/>
        </w:rPr>
      </w:pPr>
      <w:r>
        <w:rPr>
          <w:rFonts w:ascii="Arial" w:eastAsia="Arial" w:hAnsi="Arial" w:cs="Arial"/>
          <w:sz w:val="22"/>
          <w:szCs w:val="22"/>
        </w:rPr>
        <w:t>Conduct cost-benefit analysis or financing scenarios to assess potential return on conservation investments.</w:t>
      </w:r>
    </w:p>
    <w:p w14:paraId="2AD2B827" w14:textId="77777777" w:rsidR="00D84A19" w:rsidRDefault="00D84A19">
      <w:pPr>
        <w:ind w:left="720"/>
        <w:rPr>
          <w:rFonts w:ascii="Arial" w:eastAsia="Arial" w:hAnsi="Arial" w:cs="Arial"/>
          <w:sz w:val="22"/>
          <w:szCs w:val="22"/>
        </w:rPr>
      </w:pPr>
    </w:p>
    <w:p w14:paraId="70EF8522" w14:textId="77777777" w:rsidR="00D84A19" w:rsidRDefault="008024E4">
      <w:pPr>
        <w:numPr>
          <w:ilvl w:val="0"/>
          <w:numId w:val="1"/>
        </w:numPr>
        <w:rPr>
          <w:rFonts w:ascii="Arial" w:eastAsia="Arial" w:hAnsi="Arial" w:cs="Arial"/>
          <w:sz w:val="22"/>
          <w:szCs w:val="22"/>
        </w:rPr>
      </w:pPr>
      <w:r>
        <w:rPr>
          <w:rFonts w:ascii="Arial" w:eastAsia="Arial" w:hAnsi="Arial" w:cs="Arial"/>
          <w:sz w:val="22"/>
          <w:szCs w:val="22"/>
        </w:rPr>
        <w:t xml:space="preserve">Facilitate knowledge-sharing workshops with BMB and project stakeholders. </w:t>
      </w:r>
      <w:r>
        <w:rPr>
          <w:rFonts w:ascii="Arial" w:eastAsia="Arial" w:hAnsi="Arial" w:cs="Arial"/>
          <w:sz w:val="22"/>
          <w:szCs w:val="22"/>
        </w:rPr>
        <w:br/>
      </w:r>
    </w:p>
    <w:p w14:paraId="2FD368CE" w14:textId="77777777" w:rsidR="00D84A19" w:rsidRDefault="008024E4">
      <w:pPr>
        <w:numPr>
          <w:ilvl w:val="0"/>
          <w:numId w:val="1"/>
        </w:numPr>
        <w:rPr>
          <w:rFonts w:ascii="Arial" w:eastAsia="Arial" w:hAnsi="Arial" w:cs="Arial"/>
          <w:sz w:val="22"/>
          <w:szCs w:val="22"/>
        </w:rPr>
      </w:pPr>
      <w:r>
        <w:rPr>
          <w:rFonts w:ascii="Arial" w:eastAsia="Arial" w:hAnsi="Arial" w:cs="Arial"/>
          <w:sz w:val="22"/>
          <w:szCs w:val="22"/>
        </w:rPr>
        <w:t>Reporting and Recomm</w:t>
      </w:r>
      <w:r>
        <w:rPr>
          <w:rFonts w:ascii="Arial" w:eastAsia="Arial" w:hAnsi="Arial" w:cs="Arial"/>
          <w:sz w:val="22"/>
          <w:szCs w:val="22"/>
        </w:rPr>
        <w:t xml:space="preserve">endations: Prepare a detailed report outlining the findings, methodologies, and recommendations </w:t>
      </w:r>
      <w:r>
        <w:rPr>
          <w:rFonts w:ascii="Arial" w:eastAsia="Arial" w:hAnsi="Arial" w:cs="Arial"/>
          <w:sz w:val="22"/>
          <w:szCs w:val="22"/>
        </w:rPr>
        <w:br/>
      </w:r>
    </w:p>
    <w:p w14:paraId="5C687FA0" w14:textId="77777777" w:rsidR="00D84A19" w:rsidRDefault="008024E4">
      <w:pPr>
        <w:rPr>
          <w:rFonts w:ascii="Arial" w:eastAsia="Arial" w:hAnsi="Arial" w:cs="Arial"/>
          <w:b/>
          <w:bCs/>
          <w:sz w:val="22"/>
          <w:szCs w:val="22"/>
        </w:rPr>
      </w:pPr>
      <w:r>
        <w:rPr>
          <w:rFonts w:ascii="Arial" w:eastAsia="Arial" w:hAnsi="Arial" w:cs="Arial"/>
          <w:b/>
          <w:bCs/>
          <w:sz w:val="22"/>
          <w:szCs w:val="22"/>
        </w:rPr>
        <w:t>Deliverables / Expected Outputs</w:t>
      </w:r>
      <w:r>
        <w:rPr>
          <w:rFonts w:ascii="Arial" w:eastAsia="Arial" w:hAnsi="Arial" w:cs="Arial"/>
          <w:b/>
          <w:bCs/>
          <w:sz w:val="22"/>
          <w:szCs w:val="22"/>
        </w:rPr>
        <w:br/>
      </w:r>
    </w:p>
    <w:p w14:paraId="2FF50055" w14:textId="77777777" w:rsidR="00D84A19" w:rsidRDefault="008024E4">
      <w:pPr>
        <w:numPr>
          <w:ilvl w:val="0"/>
          <w:numId w:val="5"/>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Inception Report detailing the work plan, methodology, and stakeholder engagement strategy.</w:t>
      </w:r>
    </w:p>
    <w:p w14:paraId="651A833C" w14:textId="77777777" w:rsidR="00D84A19" w:rsidRDefault="00D84A19">
      <w:pPr>
        <w:rPr>
          <w:rFonts w:ascii="Arial" w:eastAsia="Arial" w:hAnsi="Arial" w:cs="Arial"/>
          <w:sz w:val="22"/>
          <w:szCs w:val="22"/>
        </w:rPr>
      </w:pPr>
    </w:p>
    <w:p w14:paraId="45298424" w14:textId="77777777" w:rsidR="00D84A19" w:rsidRDefault="008024E4">
      <w:pPr>
        <w:numPr>
          <w:ilvl w:val="0"/>
          <w:numId w:val="5"/>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Mapping of existing MPAN governa</w:t>
      </w:r>
      <w:r>
        <w:rPr>
          <w:rFonts w:ascii="Arial" w:eastAsia="Arial" w:hAnsi="Arial" w:cs="Arial"/>
          <w:color w:val="000000"/>
          <w:sz w:val="22"/>
          <w:szCs w:val="22"/>
        </w:rPr>
        <w:t>nce mechanisms and financi</w:t>
      </w:r>
      <w:r>
        <w:rPr>
          <w:rFonts w:ascii="Arial" w:eastAsia="Arial" w:hAnsi="Arial" w:cs="Arial"/>
          <w:sz w:val="22"/>
          <w:szCs w:val="22"/>
        </w:rPr>
        <w:t>ng schemes</w:t>
      </w:r>
      <w:r>
        <w:rPr>
          <w:rFonts w:ascii="Arial" w:eastAsia="Arial" w:hAnsi="Arial" w:cs="Arial"/>
          <w:color w:val="000000"/>
          <w:sz w:val="22"/>
          <w:szCs w:val="22"/>
        </w:rPr>
        <w:t>.</w:t>
      </w:r>
    </w:p>
    <w:p w14:paraId="64BF2FC5" w14:textId="77777777" w:rsidR="00D84A19" w:rsidRDefault="00D84A19">
      <w:pPr>
        <w:rPr>
          <w:rFonts w:ascii="Arial" w:eastAsia="Arial" w:hAnsi="Arial" w:cs="Arial"/>
          <w:sz w:val="22"/>
          <w:szCs w:val="22"/>
        </w:rPr>
      </w:pPr>
    </w:p>
    <w:p w14:paraId="1598787A" w14:textId="77777777" w:rsidR="00D84A19" w:rsidRDefault="008024E4">
      <w:pPr>
        <w:numPr>
          <w:ilvl w:val="0"/>
          <w:numId w:val="5"/>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Options on sustainable financing mechanisms applicable to MPANs and marine corridors, including:</w:t>
      </w:r>
    </w:p>
    <w:p w14:paraId="1552A6FB" w14:textId="77777777" w:rsidR="00D84A19" w:rsidRDefault="00D84A19">
      <w:pPr>
        <w:rPr>
          <w:rFonts w:ascii="Arial" w:eastAsia="Arial" w:hAnsi="Arial" w:cs="Arial"/>
          <w:sz w:val="22"/>
          <w:szCs w:val="22"/>
        </w:rPr>
      </w:pPr>
    </w:p>
    <w:p w14:paraId="1EDCA9AD" w14:textId="77777777" w:rsidR="00D84A19" w:rsidRDefault="008024E4">
      <w:pPr>
        <w:numPr>
          <w:ilvl w:val="1"/>
          <w:numId w:val="5"/>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Environmental user fees and</w:t>
      </w:r>
      <w:r>
        <w:rPr>
          <w:rFonts w:ascii="Arial" w:eastAsia="Arial" w:hAnsi="Arial" w:cs="Arial"/>
          <w:sz w:val="22"/>
          <w:szCs w:val="22"/>
        </w:rPr>
        <w:t>/or fees generated from tourism-related activities</w:t>
      </w:r>
    </w:p>
    <w:p w14:paraId="1266180F" w14:textId="77777777" w:rsidR="00D84A19" w:rsidRDefault="00D84A19">
      <w:pPr>
        <w:rPr>
          <w:rFonts w:ascii="Arial" w:eastAsia="Arial" w:hAnsi="Arial" w:cs="Arial"/>
          <w:sz w:val="22"/>
          <w:szCs w:val="22"/>
        </w:rPr>
      </w:pPr>
    </w:p>
    <w:p w14:paraId="71B5B27D" w14:textId="77777777" w:rsidR="00D84A19" w:rsidRDefault="008024E4">
      <w:pPr>
        <w:numPr>
          <w:ilvl w:val="1"/>
          <w:numId w:val="5"/>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Inter-LGU pooled funds or special </w:t>
      </w:r>
      <w:r>
        <w:rPr>
          <w:rFonts w:ascii="Arial" w:eastAsia="Arial" w:hAnsi="Arial" w:cs="Arial"/>
          <w:color w:val="000000"/>
          <w:sz w:val="22"/>
          <w:szCs w:val="22"/>
        </w:rPr>
        <w:t>accounts</w:t>
      </w:r>
    </w:p>
    <w:p w14:paraId="628D6AB5" w14:textId="77777777" w:rsidR="00D84A19" w:rsidRDefault="00D84A19">
      <w:pPr>
        <w:rPr>
          <w:rFonts w:ascii="Arial" w:eastAsia="Arial" w:hAnsi="Arial" w:cs="Arial"/>
          <w:sz w:val="22"/>
          <w:szCs w:val="22"/>
        </w:rPr>
      </w:pPr>
    </w:p>
    <w:p w14:paraId="664380FC" w14:textId="77777777" w:rsidR="00D84A19" w:rsidRDefault="008024E4">
      <w:pPr>
        <w:numPr>
          <w:ilvl w:val="1"/>
          <w:numId w:val="5"/>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MPAN trust funds</w:t>
      </w:r>
    </w:p>
    <w:p w14:paraId="46B83E94" w14:textId="77777777" w:rsidR="00D84A19" w:rsidRDefault="00D84A19">
      <w:pPr>
        <w:rPr>
          <w:rFonts w:ascii="Arial" w:eastAsia="Arial" w:hAnsi="Arial" w:cs="Arial"/>
          <w:sz w:val="22"/>
          <w:szCs w:val="22"/>
        </w:rPr>
      </w:pPr>
    </w:p>
    <w:p w14:paraId="25459759" w14:textId="77777777" w:rsidR="00D84A19" w:rsidRDefault="008024E4">
      <w:pPr>
        <w:numPr>
          <w:ilvl w:val="1"/>
          <w:numId w:val="5"/>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Ecosystem services payment schemes</w:t>
      </w:r>
    </w:p>
    <w:p w14:paraId="79CBF42A" w14:textId="77777777" w:rsidR="00D84A19" w:rsidRDefault="00D84A19">
      <w:pPr>
        <w:rPr>
          <w:rFonts w:ascii="Arial" w:eastAsia="Arial" w:hAnsi="Arial" w:cs="Arial"/>
          <w:sz w:val="22"/>
          <w:szCs w:val="22"/>
        </w:rPr>
      </w:pPr>
    </w:p>
    <w:p w14:paraId="2062F05D" w14:textId="77777777" w:rsidR="00D84A19" w:rsidRDefault="008024E4">
      <w:pPr>
        <w:numPr>
          <w:ilvl w:val="1"/>
          <w:numId w:val="5"/>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Co-financing arrangements (e.g., PPPs, blended finance)</w:t>
      </w:r>
    </w:p>
    <w:p w14:paraId="0EABD211" w14:textId="77777777" w:rsidR="00D84A19" w:rsidRDefault="00D84A19">
      <w:pPr>
        <w:rPr>
          <w:rFonts w:ascii="Arial" w:eastAsia="Arial" w:hAnsi="Arial" w:cs="Arial"/>
          <w:sz w:val="22"/>
          <w:szCs w:val="22"/>
        </w:rPr>
      </w:pPr>
    </w:p>
    <w:p w14:paraId="70A68514" w14:textId="77777777" w:rsidR="00D84A19" w:rsidRDefault="008024E4">
      <w:pPr>
        <w:numPr>
          <w:ilvl w:val="0"/>
          <w:numId w:val="5"/>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Assessment of the feasibility of recognizing marine corridors as OECMs.</w:t>
      </w:r>
    </w:p>
    <w:p w14:paraId="3F4C453B" w14:textId="77777777" w:rsidR="00D84A19" w:rsidRDefault="00D84A19">
      <w:pPr>
        <w:rPr>
          <w:rFonts w:ascii="Arial" w:eastAsia="Arial" w:hAnsi="Arial" w:cs="Arial"/>
          <w:sz w:val="22"/>
          <w:szCs w:val="22"/>
        </w:rPr>
      </w:pPr>
    </w:p>
    <w:p w14:paraId="6C08B0BD" w14:textId="77777777" w:rsidR="00D84A19" w:rsidRDefault="008024E4">
      <w:pPr>
        <w:numPr>
          <w:ilvl w:val="0"/>
          <w:numId w:val="5"/>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Stakeholder consultation reports (at least 3 engagements)</w:t>
      </w:r>
    </w:p>
    <w:p w14:paraId="2471275E" w14:textId="77777777" w:rsidR="00D84A19" w:rsidRDefault="00D84A19">
      <w:pPr>
        <w:rPr>
          <w:rFonts w:ascii="Arial" w:eastAsia="Arial" w:hAnsi="Arial" w:cs="Arial"/>
          <w:sz w:val="22"/>
          <w:szCs w:val="22"/>
        </w:rPr>
      </w:pPr>
    </w:p>
    <w:p w14:paraId="23FFF96C" w14:textId="77777777" w:rsidR="00D84A19" w:rsidRDefault="008024E4">
      <w:pPr>
        <w:numPr>
          <w:ilvl w:val="0"/>
          <w:numId w:val="5"/>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Fin</w:t>
      </w:r>
      <w:r>
        <w:rPr>
          <w:rFonts w:ascii="Arial" w:eastAsia="Arial" w:hAnsi="Arial" w:cs="Arial"/>
          <w:color w:val="000000"/>
          <w:sz w:val="22"/>
          <w:szCs w:val="22"/>
        </w:rPr>
        <w:t>al report with policy recommendations, model mechanisms, and a framework for piloting.</w:t>
      </w:r>
    </w:p>
    <w:p w14:paraId="2E106785" w14:textId="77777777" w:rsidR="00D84A19" w:rsidRDefault="00D84A19">
      <w:pPr>
        <w:ind w:left="720"/>
        <w:rPr>
          <w:rFonts w:ascii="Arial" w:eastAsia="Arial" w:hAnsi="Arial" w:cs="Arial"/>
          <w:sz w:val="22"/>
          <w:szCs w:val="22"/>
        </w:rPr>
      </w:pPr>
    </w:p>
    <w:p w14:paraId="46603780" w14:textId="77777777" w:rsidR="00D84A19" w:rsidRDefault="00D84A19">
      <w:pPr>
        <w:ind w:left="720"/>
        <w:rPr>
          <w:rFonts w:ascii="Arial" w:eastAsia="Arial" w:hAnsi="Arial" w:cs="Arial"/>
          <w:sz w:val="22"/>
          <w:szCs w:val="22"/>
        </w:rPr>
      </w:pPr>
    </w:p>
    <w:p w14:paraId="743E0FB3" w14:textId="77777777" w:rsidR="00D84A19" w:rsidRDefault="008024E4">
      <w:pPr>
        <w:rPr>
          <w:rFonts w:ascii="Arial" w:eastAsia="Arial" w:hAnsi="Arial" w:cs="Arial"/>
          <w:b/>
          <w:bCs/>
          <w:sz w:val="22"/>
          <w:szCs w:val="22"/>
        </w:rPr>
      </w:pPr>
      <w:r>
        <w:rPr>
          <w:rFonts w:ascii="Arial" w:eastAsia="Arial" w:hAnsi="Arial" w:cs="Arial"/>
          <w:b/>
          <w:bCs/>
          <w:sz w:val="22"/>
          <w:szCs w:val="22"/>
        </w:rPr>
        <w:t>Duration and Timeline</w:t>
      </w:r>
      <w:r>
        <w:rPr>
          <w:rFonts w:ascii="Arial" w:eastAsia="Arial" w:hAnsi="Arial" w:cs="Arial"/>
          <w:b/>
          <w:bCs/>
          <w:sz w:val="22"/>
          <w:szCs w:val="22"/>
        </w:rPr>
        <w:br/>
      </w:r>
    </w:p>
    <w:p w14:paraId="0BED3CF1" w14:textId="77777777" w:rsidR="00D84A19" w:rsidRDefault="008024E4">
      <w:pPr>
        <w:rPr>
          <w:rFonts w:ascii="Arial" w:eastAsia="Arial" w:hAnsi="Arial" w:cs="Arial"/>
          <w:sz w:val="22"/>
          <w:szCs w:val="22"/>
        </w:rPr>
      </w:pPr>
      <w:r>
        <w:rPr>
          <w:rFonts w:ascii="Arial" w:eastAsia="Arial" w:hAnsi="Arial" w:cs="Arial"/>
          <w:sz w:val="22"/>
          <w:szCs w:val="22"/>
        </w:rPr>
        <w:t>The consultancy is expected to last for four (4) months, starting from the signing of the contract. Key milestones include:</w:t>
      </w:r>
      <w:r>
        <w:rPr>
          <w:rFonts w:ascii="Arial" w:eastAsia="Arial" w:hAnsi="Arial" w:cs="Arial"/>
          <w:sz w:val="22"/>
          <w:szCs w:val="22"/>
        </w:rPr>
        <w:br/>
      </w:r>
    </w:p>
    <w:p w14:paraId="2747A738" w14:textId="77777777" w:rsidR="00D84A19" w:rsidRDefault="008024E4">
      <w:pPr>
        <w:numPr>
          <w:ilvl w:val="0"/>
          <w:numId w:val="3"/>
        </w:numPr>
        <w:rPr>
          <w:rFonts w:ascii="Arial" w:eastAsia="Arial" w:hAnsi="Arial" w:cs="Arial"/>
          <w:sz w:val="22"/>
          <w:szCs w:val="22"/>
        </w:rPr>
      </w:pPr>
      <w:r>
        <w:rPr>
          <w:rFonts w:ascii="Arial" w:eastAsia="Arial" w:hAnsi="Arial" w:cs="Arial"/>
          <w:sz w:val="22"/>
          <w:szCs w:val="22"/>
        </w:rPr>
        <w:t>Inception report: 2</w:t>
      </w:r>
      <w:r>
        <w:rPr>
          <w:rFonts w:ascii="Arial" w:eastAsia="Arial" w:hAnsi="Arial" w:cs="Arial"/>
          <w:sz w:val="22"/>
          <w:szCs w:val="22"/>
        </w:rPr>
        <w:t xml:space="preserve"> weeks from signing of contract</w:t>
      </w:r>
    </w:p>
    <w:p w14:paraId="02E6D5A1" w14:textId="77777777" w:rsidR="00D84A19" w:rsidRDefault="008024E4">
      <w:pPr>
        <w:numPr>
          <w:ilvl w:val="0"/>
          <w:numId w:val="3"/>
        </w:numPr>
        <w:rPr>
          <w:rFonts w:ascii="Arial" w:eastAsia="Arial" w:hAnsi="Arial" w:cs="Arial"/>
          <w:sz w:val="22"/>
          <w:szCs w:val="22"/>
        </w:rPr>
      </w:pPr>
      <w:r>
        <w:rPr>
          <w:rFonts w:ascii="Arial" w:eastAsia="Arial" w:hAnsi="Arial" w:cs="Arial"/>
          <w:sz w:val="22"/>
          <w:szCs w:val="22"/>
        </w:rPr>
        <w:t>MPAN Governance and Financing Review</w:t>
      </w:r>
    </w:p>
    <w:p w14:paraId="6C9E437F" w14:textId="77777777" w:rsidR="00D84A19" w:rsidRDefault="008024E4">
      <w:pPr>
        <w:numPr>
          <w:ilvl w:val="0"/>
          <w:numId w:val="3"/>
        </w:numPr>
        <w:rPr>
          <w:rFonts w:ascii="Arial" w:eastAsia="Arial" w:hAnsi="Arial" w:cs="Arial"/>
          <w:sz w:val="22"/>
          <w:szCs w:val="22"/>
        </w:rPr>
      </w:pPr>
      <w:r>
        <w:rPr>
          <w:rFonts w:ascii="Arial" w:eastAsia="Arial" w:hAnsi="Arial" w:cs="Arial"/>
          <w:sz w:val="22"/>
          <w:szCs w:val="22"/>
        </w:rPr>
        <w:t>Recommendations and options for sustainable financing</w:t>
      </w:r>
    </w:p>
    <w:p w14:paraId="0E906052" w14:textId="77777777" w:rsidR="00D84A19" w:rsidRDefault="008024E4">
      <w:pPr>
        <w:numPr>
          <w:ilvl w:val="0"/>
          <w:numId w:val="3"/>
        </w:numPr>
        <w:rPr>
          <w:rFonts w:ascii="Arial" w:eastAsia="Arial" w:hAnsi="Arial" w:cs="Arial"/>
          <w:sz w:val="22"/>
          <w:szCs w:val="22"/>
        </w:rPr>
      </w:pPr>
      <w:r>
        <w:rPr>
          <w:rFonts w:ascii="Arial" w:eastAsia="Arial" w:hAnsi="Arial" w:cs="Arial"/>
          <w:sz w:val="22"/>
          <w:szCs w:val="22"/>
        </w:rPr>
        <w:t>Feasibility findings on the potential of marine corridors to be recognized as OECMs</w:t>
      </w:r>
    </w:p>
    <w:p w14:paraId="53CBD3AC" w14:textId="77777777" w:rsidR="00D84A19" w:rsidRDefault="008024E4">
      <w:pPr>
        <w:numPr>
          <w:ilvl w:val="0"/>
          <w:numId w:val="3"/>
        </w:numPr>
        <w:rPr>
          <w:rFonts w:ascii="Arial" w:eastAsia="Arial" w:hAnsi="Arial" w:cs="Arial"/>
          <w:sz w:val="22"/>
          <w:szCs w:val="22"/>
        </w:rPr>
      </w:pPr>
      <w:r>
        <w:rPr>
          <w:rFonts w:ascii="Arial" w:eastAsia="Arial" w:hAnsi="Arial" w:cs="Arial"/>
          <w:sz w:val="22"/>
          <w:szCs w:val="22"/>
        </w:rPr>
        <w:t>Final report</w:t>
      </w:r>
    </w:p>
    <w:p w14:paraId="4D845BEE" w14:textId="77777777" w:rsidR="00D84A19" w:rsidRDefault="00D84A19">
      <w:pPr>
        <w:rPr>
          <w:rFonts w:ascii="Arial" w:eastAsia="Arial" w:hAnsi="Arial" w:cs="Arial"/>
          <w:sz w:val="22"/>
          <w:szCs w:val="22"/>
        </w:rPr>
      </w:pPr>
    </w:p>
    <w:p w14:paraId="69C78942" w14:textId="77777777" w:rsidR="00D84A19" w:rsidRDefault="00D84A19">
      <w:pPr>
        <w:jc w:val="both"/>
        <w:rPr>
          <w:rFonts w:ascii="Arial" w:eastAsia="Arial" w:hAnsi="Arial" w:cs="Arial"/>
          <w:sz w:val="20"/>
          <w:szCs w:val="20"/>
        </w:rPr>
      </w:pPr>
    </w:p>
    <w:p w14:paraId="26E993FA" w14:textId="77777777" w:rsidR="00D84A19" w:rsidRDefault="00D84A19">
      <w:pPr>
        <w:jc w:val="both"/>
        <w:rPr>
          <w:rFonts w:ascii="Arial" w:eastAsia="Arial" w:hAnsi="Arial" w:cs="Arial"/>
          <w:sz w:val="20"/>
          <w:szCs w:val="20"/>
        </w:rPr>
      </w:pPr>
    </w:p>
    <w:tbl>
      <w:tblPr>
        <w:tblStyle w:val="a2"/>
        <w:tblW w:w="918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40"/>
        <w:gridCol w:w="3960"/>
        <w:gridCol w:w="1980"/>
      </w:tblGrid>
      <w:tr w:rsidR="00D84A19" w14:paraId="211AD9D4" w14:textId="77777777">
        <w:tc>
          <w:tcPr>
            <w:tcW w:w="3240" w:type="dxa"/>
          </w:tcPr>
          <w:p w14:paraId="69DE9FFB" w14:textId="77777777" w:rsidR="00D84A19" w:rsidRDefault="008024E4">
            <w:pPr>
              <w:widowControl w:val="0"/>
              <w:jc w:val="center"/>
              <w:rPr>
                <w:rFonts w:ascii="Arial" w:eastAsia="Arial" w:hAnsi="Arial" w:cs="Arial"/>
                <w:b/>
                <w:bCs/>
                <w:sz w:val="20"/>
                <w:szCs w:val="20"/>
              </w:rPr>
            </w:pPr>
            <w:r>
              <w:rPr>
                <w:rFonts w:ascii="Arial" w:eastAsia="Arial" w:hAnsi="Arial" w:cs="Arial"/>
                <w:b/>
                <w:bCs/>
                <w:sz w:val="20"/>
                <w:szCs w:val="20"/>
              </w:rPr>
              <w:t>Deliverables</w:t>
            </w:r>
          </w:p>
        </w:tc>
        <w:tc>
          <w:tcPr>
            <w:tcW w:w="3960" w:type="dxa"/>
            <w:tcMar>
              <w:top w:w="100" w:type="dxa"/>
              <w:left w:w="100" w:type="dxa"/>
              <w:bottom w:w="100" w:type="dxa"/>
              <w:right w:w="100" w:type="dxa"/>
            </w:tcMar>
          </w:tcPr>
          <w:p w14:paraId="1CAC48F0" w14:textId="77777777" w:rsidR="00D84A19" w:rsidRDefault="008024E4">
            <w:pPr>
              <w:widowControl w:val="0"/>
              <w:jc w:val="center"/>
              <w:rPr>
                <w:rFonts w:ascii="Arial" w:eastAsia="Arial" w:hAnsi="Arial" w:cs="Arial"/>
                <w:b/>
                <w:bCs/>
                <w:sz w:val="20"/>
                <w:szCs w:val="20"/>
              </w:rPr>
            </w:pPr>
            <w:r>
              <w:rPr>
                <w:rFonts w:ascii="Arial" w:eastAsia="Arial" w:hAnsi="Arial" w:cs="Arial"/>
                <w:b/>
                <w:bCs/>
                <w:sz w:val="20"/>
                <w:szCs w:val="20"/>
              </w:rPr>
              <w:t>Description</w:t>
            </w:r>
          </w:p>
        </w:tc>
        <w:tc>
          <w:tcPr>
            <w:tcW w:w="1980" w:type="dxa"/>
            <w:tcMar>
              <w:top w:w="100" w:type="dxa"/>
              <w:left w:w="100" w:type="dxa"/>
              <w:bottom w:w="100" w:type="dxa"/>
              <w:right w:w="100" w:type="dxa"/>
            </w:tcMar>
          </w:tcPr>
          <w:p w14:paraId="1876D01E" w14:textId="77777777" w:rsidR="00D84A19" w:rsidRDefault="008024E4">
            <w:pPr>
              <w:widowControl w:val="0"/>
              <w:jc w:val="center"/>
              <w:rPr>
                <w:rFonts w:ascii="Arial" w:eastAsia="Arial" w:hAnsi="Arial" w:cs="Arial"/>
                <w:b/>
                <w:bCs/>
                <w:sz w:val="20"/>
                <w:szCs w:val="20"/>
              </w:rPr>
            </w:pPr>
            <w:r>
              <w:rPr>
                <w:rFonts w:ascii="Arial" w:eastAsia="Arial" w:hAnsi="Arial" w:cs="Arial"/>
                <w:b/>
                <w:bCs/>
                <w:sz w:val="20"/>
                <w:szCs w:val="20"/>
              </w:rPr>
              <w:t>Timeline</w:t>
            </w:r>
          </w:p>
        </w:tc>
      </w:tr>
      <w:tr w:rsidR="00D84A19" w14:paraId="2C283599" w14:textId="77777777">
        <w:tc>
          <w:tcPr>
            <w:tcW w:w="3240" w:type="dxa"/>
          </w:tcPr>
          <w:p w14:paraId="1E236612" w14:textId="77777777" w:rsidR="00D84A19" w:rsidRDefault="008024E4">
            <w:pPr>
              <w:widowControl w:val="0"/>
              <w:rPr>
                <w:rFonts w:ascii="Arial" w:eastAsia="Arial" w:hAnsi="Arial" w:cs="Arial"/>
                <w:b/>
                <w:bCs/>
                <w:sz w:val="20"/>
                <w:szCs w:val="20"/>
              </w:rPr>
            </w:pPr>
            <w:r>
              <w:rPr>
                <w:rFonts w:ascii="Arial" w:eastAsia="Arial" w:hAnsi="Arial" w:cs="Arial"/>
                <w:b/>
                <w:bCs/>
                <w:sz w:val="20"/>
                <w:szCs w:val="20"/>
              </w:rPr>
              <w:t>Inception Report</w:t>
            </w:r>
          </w:p>
          <w:p w14:paraId="4F0F8207" w14:textId="77777777" w:rsidR="00D84A19" w:rsidRDefault="008024E4">
            <w:pPr>
              <w:widowControl w:val="0"/>
              <w:rPr>
                <w:rFonts w:ascii="Arial" w:eastAsia="Arial" w:hAnsi="Arial" w:cs="Arial"/>
                <w:b/>
                <w:bCs/>
                <w:sz w:val="20"/>
                <w:szCs w:val="20"/>
              </w:rPr>
            </w:pPr>
            <w:r>
              <w:rPr>
                <w:rFonts w:ascii="Arial" w:eastAsia="Arial" w:hAnsi="Arial" w:cs="Arial"/>
                <w:sz w:val="20"/>
                <w:szCs w:val="20"/>
              </w:rPr>
              <w:t xml:space="preserve">Project schedule, phase and </w:t>
            </w:r>
            <w:r>
              <w:rPr>
                <w:rFonts w:ascii="Arial" w:eastAsia="Arial" w:hAnsi="Arial" w:cs="Arial"/>
                <w:sz w:val="20"/>
                <w:szCs w:val="20"/>
              </w:rPr>
              <w:lastRenderedPageBreak/>
              <w:t>methodology</w:t>
            </w:r>
          </w:p>
        </w:tc>
        <w:tc>
          <w:tcPr>
            <w:tcW w:w="3960" w:type="dxa"/>
            <w:tcMar>
              <w:top w:w="100" w:type="dxa"/>
              <w:left w:w="100" w:type="dxa"/>
              <w:bottom w:w="100" w:type="dxa"/>
              <w:right w:w="100" w:type="dxa"/>
            </w:tcMar>
          </w:tcPr>
          <w:p w14:paraId="20FC16F1" w14:textId="77777777" w:rsidR="00D84A19" w:rsidRDefault="008024E4">
            <w:pPr>
              <w:widowControl w:val="0"/>
              <w:jc w:val="center"/>
              <w:rPr>
                <w:rFonts w:ascii="Arial" w:eastAsia="Arial" w:hAnsi="Arial" w:cs="Arial"/>
                <w:sz w:val="20"/>
                <w:szCs w:val="20"/>
              </w:rPr>
            </w:pPr>
            <w:r>
              <w:rPr>
                <w:rFonts w:ascii="Arial" w:eastAsia="Arial" w:hAnsi="Arial" w:cs="Arial"/>
                <w:sz w:val="20"/>
                <w:szCs w:val="20"/>
              </w:rPr>
              <w:lastRenderedPageBreak/>
              <w:t>Approved project schedule, phase and methodology review</w:t>
            </w:r>
          </w:p>
        </w:tc>
        <w:tc>
          <w:tcPr>
            <w:tcW w:w="1980" w:type="dxa"/>
            <w:tcMar>
              <w:top w:w="100" w:type="dxa"/>
              <w:left w:w="100" w:type="dxa"/>
              <w:bottom w:w="100" w:type="dxa"/>
              <w:right w:w="100" w:type="dxa"/>
            </w:tcMar>
          </w:tcPr>
          <w:p w14:paraId="0208F193" w14:textId="77777777" w:rsidR="00D84A19" w:rsidRDefault="008024E4">
            <w:pPr>
              <w:widowControl w:val="0"/>
              <w:jc w:val="center"/>
              <w:rPr>
                <w:rFonts w:ascii="Arial" w:eastAsia="Arial" w:hAnsi="Arial" w:cs="Arial"/>
                <w:sz w:val="20"/>
                <w:szCs w:val="20"/>
              </w:rPr>
            </w:pPr>
            <w:r>
              <w:rPr>
                <w:rFonts w:ascii="Arial" w:eastAsia="Arial" w:hAnsi="Arial" w:cs="Arial"/>
                <w:sz w:val="20"/>
                <w:szCs w:val="20"/>
              </w:rPr>
              <w:t>2 weeks from signing of contract</w:t>
            </w:r>
          </w:p>
        </w:tc>
      </w:tr>
      <w:tr w:rsidR="00D84A19" w14:paraId="426A2562" w14:textId="77777777">
        <w:tc>
          <w:tcPr>
            <w:tcW w:w="3240" w:type="dxa"/>
          </w:tcPr>
          <w:p w14:paraId="1D9CF3F8" w14:textId="77777777" w:rsidR="00D84A19" w:rsidRDefault="008024E4">
            <w:pPr>
              <w:jc w:val="both"/>
              <w:rPr>
                <w:rFonts w:ascii="Arial" w:eastAsia="Arial" w:hAnsi="Arial" w:cs="Arial"/>
                <w:sz w:val="20"/>
                <w:szCs w:val="20"/>
              </w:rPr>
            </w:pPr>
            <w:r>
              <w:rPr>
                <w:rFonts w:ascii="Arial" w:eastAsia="Arial" w:hAnsi="Arial" w:cs="Arial"/>
                <w:b/>
                <w:bCs/>
                <w:sz w:val="20"/>
                <w:szCs w:val="20"/>
              </w:rPr>
              <w:t xml:space="preserve">Governance and Financing Review </w:t>
            </w:r>
          </w:p>
        </w:tc>
        <w:tc>
          <w:tcPr>
            <w:tcW w:w="3960" w:type="dxa"/>
            <w:tcMar>
              <w:top w:w="100" w:type="dxa"/>
              <w:left w:w="100" w:type="dxa"/>
              <w:bottom w:w="100" w:type="dxa"/>
              <w:right w:w="100" w:type="dxa"/>
            </w:tcMar>
          </w:tcPr>
          <w:p w14:paraId="29484338" w14:textId="77777777" w:rsidR="00D84A19" w:rsidRDefault="008024E4">
            <w:pPr>
              <w:widowControl w:val="0"/>
              <w:rPr>
                <w:rFonts w:ascii="Arial" w:eastAsia="Arial" w:hAnsi="Arial" w:cs="Arial"/>
                <w:sz w:val="20"/>
                <w:szCs w:val="20"/>
              </w:rPr>
            </w:pPr>
            <w:r>
              <w:rPr>
                <w:rFonts w:ascii="Arial" w:eastAsia="Arial" w:hAnsi="Arial" w:cs="Arial"/>
                <w:sz w:val="20"/>
                <w:szCs w:val="20"/>
              </w:rPr>
              <w:t xml:space="preserve">This document must demonstrate a comprehensive analysis of relevant </w:t>
            </w:r>
            <w:r>
              <w:rPr>
                <w:rFonts w:ascii="Arial" w:eastAsia="Arial" w:hAnsi="Arial" w:cs="Arial"/>
                <w:sz w:val="20"/>
                <w:szCs w:val="20"/>
              </w:rPr>
              <w:t>policies and regulations governing the creation and management of MPA networks, including existing financing models. It should identify gaps, field-level challenges, and best practices, while providing practical and context-specific recommendations on poli</w:t>
            </w:r>
            <w:r>
              <w:rPr>
                <w:rFonts w:ascii="Arial" w:eastAsia="Arial" w:hAnsi="Arial" w:cs="Arial"/>
                <w:sz w:val="20"/>
                <w:szCs w:val="20"/>
              </w:rPr>
              <w:t>cy, governance, and financing mechanisms.</w:t>
            </w:r>
          </w:p>
        </w:tc>
        <w:tc>
          <w:tcPr>
            <w:tcW w:w="1980" w:type="dxa"/>
            <w:tcMar>
              <w:top w:w="100" w:type="dxa"/>
              <w:left w:w="100" w:type="dxa"/>
              <w:bottom w:w="100" w:type="dxa"/>
              <w:right w:w="100" w:type="dxa"/>
            </w:tcMar>
          </w:tcPr>
          <w:p w14:paraId="544771D1" w14:textId="77777777" w:rsidR="00D84A19" w:rsidRDefault="00D84A19">
            <w:pPr>
              <w:widowControl w:val="0"/>
              <w:jc w:val="center"/>
              <w:rPr>
                <w:rFonts w:ascii="Arial" w:eastAsia="Arial" w:hAnsi="Arial" w:cs="Arial"/>
                <w:sz w:val="20"/>
                <w:szCs w:val="20"/>
              </w:rPr>
            </w:pPr>
          </w:p>
          <w:p w14:paraId="53E63AC9" w14:textId="77777777" w:rsidR="00D84A19" w:rsidRDefault="008024E4">
            <w:pPr>
              <w:widowControl w:val="0"/>
              <w:jc w:val="center"/>
              <w:rPr>
                <w:rFonts w:ascii="Arial" w:eastAsia="Arial" w:hAnsi="Arial" w:cs="Arial"/>
                <w:sz w:val="20"/>
                <w:szCs w:val="20"/>
              </w:rPr>
            </w:pPr>
            <w:r>
              <w:rPr>
                <w:rFonts w:ascii="Arial" w:eastAsia="Arial" w:hAnsi="Arial" w:cs="Arial"/>
                <w:sz w:val="20"/>
                <w:szCs w:val="20"/>
              </w:rPr>
              <w:t>Month 2</w:t>
            </w:r>
          </w:p>
        </w:tc>
      </w:tr>
      <w:tr w:rsidR="00D84A19" w14:paraId="02B88174" w14:textId="77777777">
        <w:tc>
          <w:tcPr>
            <w:tcW w:w="3240" w:type="dxa"/>
          </w:tcPr>
          <w:p w14:paraId="7D28FDCF" w14:textId="77777777" w:rsidR="00D84A19" w:rsidRDefault="008024E4">
            <w:pPr>
              <w:widowControl w:val="0"/>
              <w:rPr>
                <w:rFonts w:ascii="Arial" w:eastAsia="Arial" w:hAnsi="Arial" w:cs="Arial"/>
                <w:sz w:val="20"/>
                <w:szCs w:val="20"/>
              </w:rPr>
            </w:pPr>
            <w:r>
              <w:rPr>
                <w:rFonts w:ascii="Arial" w:eastAsia="Arial" w:hAnsi="Arial" w:cs="Arial"/>
                <w:b/>
                <w:bCs/>
                <w:sz w:val="20"/>
                <w:szCs w:val="20"/>
              </w:rPr>
              <w:t>Recommendations and options for financing and recognition of marine corridors as OECMs</w:t>
            </w:r>
          </w:p>
        </w:tc>
        <w:tc>
          <w:tcPr>
            <w:tcW w:w="3960" w:type="dxa"/>
            <w:tcMar>
              <w:top w:w="100" w:type="dxa"/>
              <w:left w:w="100" w:type="dxa"/>
              <w:bottom w:w="100" w:type="dxa"/>
              <w:right w:w="100" w:type="dxa"/>
            </w:tcMar>
          </w:tcPr>
          <w:p w14:paraId="289DECE8" w14:textId="77777777" w:rsidR="00D84A19" w:rsidRDefault="008024E4">
            <w:pPr>
              <w:jc w:val="both"/>
              <w:rPr>
                <w:rFonts w:ascii="Arial" w:eastAsia="Arial" w:hAnsi="Arial" w:cs="Arial"/>
                <w:sz w:val="20"/>
                <w:szCs w:val="20"/>
              </w:rPr>
            </w:pPr>
            <w:r>
              <w:rPr>
                <w:rFonts w:ascii="Arial" w:eastAsia="Arial" w:hAnsi="Arial" w:cs="Arial"/>
                <w:sz w:val="20"/>
                <w:szCs w:val="20"/>
              </w:rPr>
              <w:t>This document must outline sustainable financing options for MPANs and marine corridors, and recommendations to advan</w:t>
            </w:r>
            <w:r>
              <w:rPr>
                <w:rFonts w:ascii="Arial" w:eastAsia="Arial" w:hAnsi="Arial" w:cs="Arial"/>
                <w:sz w:val="20"/>
                <w:szCs w:val="20"/>
              </w:rPr>
              <w:t>ce recognition of marine corridors as OECMs</w:t>
            </w:r>
          </w:p>
          <w:p w14:paraId="4D9639C0" w14:textId="77777777" w:rsidR="00D84A19" w:rsidRDefault="00D84A19">
            <w:pPr>
              <w:rPr>
                <w:rFonts w:ascii="Arial" w:eastAsia="Arial" w:hAnsi="Arial" w:cs="Arial"/>
                <w:sz w:val="20"/>
                <w:szCs w:val="20"/>
              </w:rPr>
            </w:pPr>
          </w:p>
        </w:tc>
        <w:tc>
          <w:tcPr>
            <w:tcW w:w="1980" w:type="dxa"/>
            <w:tcMar>
              <w:top w:w="100" w:type="dxa"/>
              <w:left w:w="100" w:type="dxa"/>
              <w:bottom w:w="100" w:type="dxa"/>
              <w:right w:w="100" w:type="dxa"/>
            </w:tcMar>
          </w:tcPr>
          <w:p w14:paraId="173260CE" w14:textId="77777777" w:rsidR="00D84A19" w:rsidRDefault="008024E4">
            <w:pPr>
              <w:widowControl w:val="0"/>
              <w:jc w:val="center"/>
              <w:rPr>
                <w:rFonts w:ascii="Arial" w:eastAsia="Arial" w:hAnsi="Arial" w:cs="Arial"/>
                <w:sz w:val="20"/>
                <w:szCs w:val="20"/>
              </w:rPr>
            </w:pPr>
            <w:r>
              <w:rPr>
                <w:rFonts w:ascii="Arial" w:eastAsia="Arial" w:hAnsi="Arial" w:cs="Arial"/>
                <w:sz w:val="20"/>
                <w:szCs w:val="20"/>
              </w:rPr>
              <w:t>Month 3</w:t>
            </w:r>
          </w:p>
        </w:tc>
      </w:tr>
      <w:tr w:rsidR="00D84A19" w14:paraId="3F443AD9" w14:textId="77777777">
        <w:tc>
          <w:tcPr>
            <w:tcW w:w="3240" w:type="dxa"/>
          </w:tcPr>
          <w:p w14:paraId="7B4ADE9B" w14:textId="77777777" w:rsidR="00D84A19" w:rsidRDefault="008024E4">
            <w:pPr>
              <w:widowControl w:val="0"/>
              <w:rPr>
                <w:rFonts w:ascii="Arial" w:eastAsia="Arial" w:hAnsi="Arial" w:cs="Arial"/>
                <w:b/>
                <w:bCs/>
                <w:sz w:val="20"/>
                <w:szCs w:val="20"/>
              </w:rPr>
            </w:pPr>
            <w:r>
              <w:rPr>
                <w:rFonts w:ascii="Arial" w:eastAsia="Arial" w:hAnsi="Arial" w:cs="Arial"/>
                <w:b/>
                <w:bCs/>
                <w:sz w:val="20"/>
                <w:szCs w:val="20"/>
              </w:rPr>
              <w:t>Final Report</w:t>
            </w:r>
          </w:p>
        </w:tc>
        <w:tc>
          <w:tcPr>
            <w:tcW w:w="3960" w:type="dxa"/>
            <w:tcMar>
              <w:top w:w="100" w:type="dxa"/>
              <w:left w:w="100" w:type="dxa"/>
              <w:bottom w:w="100" w:type="dxa"/>
              <w:right w:w="100" w:type="dxa"/>
            </w:tcMar>
          </w:tcPr>
          <w:p w14:paraId="024AEB9B" w14:textId="77777777" w:rsidR="00D84A19" w:rsidRDefault="008024E4">
            <w:pPr>
              <w:jc w:val="both"/>
              <w:rPr>
                <w:rFonts w:ascii="Arial" w:eastAsia="Arial" w:hAnsi="Arial" w:cs="Arial"/>
                <w:sz w:val="20"/>
                <w:szCs w:val="20"/>
              </w:rPr>
            </w:pPr>
            <w:r>
              <w:rPr>
                <w:rFonts w:ascii="Arial" w:eastAsia="Arial" w:hAnsi="Arial" w:cs="Arial"/>
                <w:sz w:val="20"/>
                <w:szCs w:val="20"/>
              </w:rPr>
              <w:t>Integrated report consolidating the findings from MPAN governance and financing review, recommendations on financing options and recognition of marine corridors as OECMs.</w:t>
            </w:r>
          </w:p>
        </w:tc>
        <w:tc>
          <w:tcPr>
            <w:tcW w:w="1980" w:type="dxa"/>
            <w:tcMar>
              <w:top w:w="100" w:type="dxa"/>
              <w:left w:w="100" w:type="dxa"/>
              <w:bottom w:w="100" w:type="dxa"/>
              <w:right w:w="100" w:type="dxa"/>
            </w:tcMar>
          </w:tcPr>
          <w:p w14:paraId="0F3D5721" w14:textId="77777777" w:rsidR="00D84A19" w:rsidRDefault="008024E4">
            <w:pPr>
              <w:widowControl w:val="0"/>
              <w:jc w:val="center"/>
              <w:rPr>
                <w:rFonts w:ascii="Arial" w:eastAsia="Arial" w:hAnsi="Arial" w:cs="Arial"/>
                <w:sz w:val="20"/>
                <w:szCs w:val="20"/>
              </w:rPr>
            </w:pPr>
            <w:r>
              <w:rPr>
                <w:rFonts w:ascii="Arial" w:eastAsia="Arial" w:hAnsi="Arial" w:cs="Arial"/>
                <w:sz w:val="20"/>
                <w:szCs w:val="20"/>
              </w:rPr>
              <w:t>Month 4</w:t>
            </w:r>
          </w:p>
        </w:tc>
      </w:tr>
    </w:tbl>
    <w:p w14:paraId="3792679B" w14:textId="77777777" w:rsidR="00D84A19" w:rsidRDefault="00D84A19">
      <w:pPr>
        <w:jc w:val="both"/>
        <w:rPr>
          <w:rFonts w:ascii="Arial" w:eastAsia="Arial" w:hAnsi="Arial" w:cs="Arial"/>
          <w:sz w:val="20"/>
          <w:szCs w:val="20"/>
        </w:rPr>
      </w:pPr>
    </w:p>
    <w:p w14:paraId="5A08348A" w14:textId="77777777" w:rsidR="00D84A19" w:rsidRDefault="00D84A19">
      <w:pPr>
        <w:rPr>
          <w:rFonts w:ascii="Arial" w:eastAsia="Arial" w:hAnsi="Arial" w:cs="Arial"/>
          <w:sz w:val="22"/>
          <w:szCs w:val="22"/>
        </w:rPr>
      </w:pPr>
    </w:p>
    <w:p w14:paraId="07D47112" w14:textId="77777777" w:rsidR="00D84A19" w:rsidRDefault="008024E4">
      <w:pPr>
        <w:rPr>
          <w:rFonts w:ascii="Arial" w:eastAsia="Arial" w:hAnsi="Arial" w:cs="Arial"/>
          <w:sz w:val="22"/>
          <w:szCs w:val="22"/>
        </w:rPr>
      </w:pPr>
      <w:r>
        <w:rPr>
          <w:rFonts w:ascii="Arial" w:eastAsia="Arial" w:hAnsi="Arial" w:cs="Arial"/>
          <w:b/>
          <w:bCs/>
          <w:sz w:val="22"/>
          <w:szCs w:val="22"/>
        </w:rPr>
        <w:t>Qualifications</w:t>
      </w:r>
      <w:r>
        <w:rPr>
          <w:rFonts w:ascii="Arial" w:eastAsia="Arial" w:hAnsi="Arial" w:cs="Arial"/>
          <w:b/>
          <w:bCs/>
          <w:sz w:val="22"/>
          <w:szCs w:val="22"/>
        </w:rPr>
        <w:br/>
      </w:r>
      <w:r>
        <w:rPr>
          <w:rFonts w:ascii="Arial" w:eastAsia="Arial" w:hAnsi="Arial" w:cs="Arial"/>
          <w:b/>
          <w:bCs/>
          <w:sz w:val="22"/>
          <w:szCs w:val="22"/>
        </w:rPr>
        <w:br/>
      </w:r>
      <w:r>
        <w:rPr>
          <w:rFonts w:ascii="Arial" w:eastAsia="Arial" w:hAnsi="Arial" w:cs="Arial"/>
          <w:sz w:val="22"/>
          <w:szCs w:val="22"/>
        </w:rPr>
        <w:t>The Lead Consultant should have:</w:t>
      </w:r>
    </w:p>
    <w:p w14:paraId="7C027855" w14:textId="77777777" w:rsidR="00D84A19" w:rsidRDefault="008024E4">
      <w:pPr>
        <w:numPr>
          <w:ilvl w:val="0"/>
          <w:numId w:val="2"/>
        </w:numPr>
        <w:rPr>
          <w:rFonts w:ascii="Arial" w:eastAsia="Arial" w:hAnsi="Arial" w:cs="Arial"/>
          <w:sz w:val="22"/>
          <w:szCs w:val="22"/>
        </w:rPr>
      </w:pPr>
      <w:r>
        <w:rPr>
          <w:rFonts w:ascii="Arial" w:eastAsia="Arial" w:hAnsi="Arial" w:cs="Arial"/>
          <w:sz w:val="22"/>
          <w:szCs w:val="22"/>
        </w:rPr>
        <w:t>Master’s degree or higher in Environmental Economics, Marine Policy, Public Administration, or related fields.</w:t>
      </w:r>
    </w:p>
    <w:p w14:paraId="05CF48F2" w14:textId="77777777" w:rsidR="00D84A19" w:rsidRDefault="008024E4">
      <w:pPr>
        <w:numPr>
          <w:ilvl w:val="0"/>
          <w:numId w:val="2"/>
        </w:numPr>
        <w:rPr>
          <w:rFonts w:ascii="Arial" w:eastAsia="Arial" w:hAnsi="Arial" w:cs="Arial"/>
          <w:sz w:val="22"/>
          <w:szCs w:val="22"/>
        </w:rPr>
      </w:pPr>
      <w:r>
        <w:rPr>
          <w:rFonts w:ascii="Arial" w:eastAsia="Arial" w:hAnsi="Arial" w:cs="Arial"/>
          <w:sz w:val="22"/>
          <w:szCs w:val="22"/>
        </w:rPr>
        <w:t>At least 7 years of experience in natural resource governance, environmental policy, conservatio</w:t>
      </w:r>
      <w:r>
        <w:rPr>
          <w:rFonts w:ascii="Arial" w:eastAsia="Arial" w:hAnsi="Arial" w:cs="Arial"/>
          <w:sz w:val="22"/>
          <w:szCs w:val="22"/>
        </w:rPr>
        <w:t>n investments &amp; financing, or marine/coastal management.</w:t>
      </w:r>
    </w:p>
    <w:p w14:paraId="7C2E2D53" w14:textId="77777777" w:rsidR="00D84A19" w:rsidRDefault="008024E4">
      <w:pPr>
        <w:numPr>
          <w:ilvl w:val="0"/>
          <w:numId w:val="2"/>
        </w:numPr>
        <w:rPr>
          <w:rFonts w:ascii="Arial" w:eastAsia="Arial" w:hAnsi="Arial" w:cs="Arial"/>
          <w:sz w:val="22"/>
          <w:szCs w:val="22"/>
        </w:rPr>
      </w:pPr>
      <w:r>
        <w:rPr>
          <w:rFonts w:ascii="Arial" w:eastAsia="Arial" w:hAnsi="Arial" w:cs="Arial"/>
          <w:sz w:val="22"/>
          <w:szCs w:val="22"/>
        </w:rPr>
        <w:t>Demonstrated experience in designing or evaluating sustainable financing mechanisms for protected areas or resource management.</w:t>
      </w:r>
    </w:p>
    <w:p w14:paraId="128DB8F3" w14:textId="77777777" w:rsidR="00D84A19" w:rsidRDefault="008024E4">
      <w:pPr>
        <w:numPr>
          <w:ilvl w:val="0"/>
          <w:numId w:val="2"/>
        </w:numPr>
        <w:rPr>
          <w:rFonts w:ascii="Arial" w:eastAsia="Arial" w:hAnsi="Arial" w:cs="Arial"/>
          <w:sz w:val="22"/>
          <w:szCs w:val="22"/>
        </w:rPr>
      </w:pPr>
      <w:r>
        <w:rPr>
          <w:rFonts w:ascii="Arial" w:eastAsia="Arial" w:hAnsi="Arial" w:cs="Arial"/>
          <w:sz w:val="22"/>
          <w:szCs w:val="22"/>
        </w:rPr>
        <w:t>Familiarity with Philippine marine and coastal governance frameworks.</w:t>
      </w:r>
    </w:p>
    <w:p w14:paraId="61FCF60D" w14:textId="77777777" w:rsidR="00D84A19" w:rsidRDefault="008024E4">
      <w:pPr>
        <w:numPr>
          <w:ilvl w:val="0"/>
          <w:numId w:val="2"/>
        </w:numPr>
        <w:rPr>
          <w:rFonts w:ascii="Arial" w:eastAsia="Arial" w:hAnsi="Arial" w:cs="Arial"/>
          <w:sz w:val="22"/>
          <w:szCs w:val="22"/>
        </w:rPr>
      </w:pPr>
      <w:r>
        <w:rPr>
          <w:rFonts w:ascii="Arial" w:eastAsia="Arial" w:hAnsi="Arial" w:cs="Arial"/>
          <w:sz w:val="22"/>
          <w:szCs w:val="22"/>
        </w:rPr>
        <w:t>S</w:t>
      </w:r>
      <w:r>
        <w:rPr>
          <w:rFonts w:ascii="Arial" w:eastAsia="Arial" w:hAnsi="Arial" w:cs="Arial"/>
          <w:sz w:val="22"/>
          <w:szCs w:val="22"/>
        </w:rPr>
        <w:t>trong communication and report writing skills.</w:t>
      </w:r>
      <w:r>
        <w:rPr>
          <w:rFonts w:ascii="Arial" w:eastAsia="Arial" w:hAnsi="Arial" w:cs="Arial"/>
          <w:sz w:val="22"/>
          <w:szCs w:val="22"/>
        </w:rPr>
        <w:br/>
      </w:r>
    </w:p>
    <w:p w14:paraId="40783E45" w14:textId="77777777" w:rsidR="00D84A19" w:rsidRDefault="00D84A19">
      <w:pPr>
        <w:rPr>
          <w:rFonts w:ascii="Arial" w:eastAsia="Arial" w:hAnsi="Arial" w:cs="Arial"/>
          <w:sz w:val="22"/>
          <w:szCs w:val="22"/>
        </w:rPr>
      </w:pPr>
    </w:p>
    <w:sectPr w:rsidR="00D84A19">
      <w:headerReference w:type="default" r:id="rId8"/>
      <w:footerReference w:type="default" r:id="rId9"/>
      <w:headerReference w:type="first" r:id="rId10"/>
      <w:footerReference w:type="first" r:id="rId11"/>
      <w:pgSz w:w="11906" w:h="16838"/>
      <w:pgMar w:top="1440" w:right="1440" w:bottom="1530" w:left="1440" w:header="709" w:footer="34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9C5F8C" w14:textId="77777777" w:rsidR="008024E4" w:rsidRDefault="008024E4">
      <w:r>
        <w:separator/>
      </w:r>
    </w:p>
  </w:endnote>
  <w:endnote w:type="continuationSeparator" w:id="0">
    <w:p w14:paraId="3163FE4B" w14:textId="77777777" w:rsidR="008024E4" w:rsidRDefault="008024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0D2F4C46-F851-4A25-AEDA-96CB9DD62B3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DA52B21-9A9A-4E35-AB04-56C606D6E4C3}"/>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embedItalic r:id="rId3" w:fontKey="{3DF7F0CC-B43A-4959-902C-AE550FB79A2C}"/>
  </w:font>
  <w:font w:name="Calibri Light">
    <w:panose1 w:val="020F0302020204030204"/>
    <w:charset w:val="00"/>
    <w:family w:val="swiss"/>
    <w:pitch w:val="variable"/>
    <w:sig w:usb0="E4002EFF" w:usb1="C200247B" w:usb2="00000009" w:usb3="00000000" w:csb0="000001FF" w:csb1="00000000"/>
    <w:embedRegular r:id="rId4" w:fontKey="{3B691F65-7557-4FC0-B84F-5C412DBC641A}"/>
  </w:font>
  <w:font w:name="Liberation Sans Narrow">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F41A9" w14:textId="77777777" w:rsidR="00D84A19" w:rsidRDefault="008024E4">
    <w:pPr>
      <w:pBdr>
        <w:top w:val="nil"/>
        <w:left w:val="nil"/>
        <w:bottom w:val="nil"/>
        <w:right w:val="nil"/>
        <w:between w:val="nil"/>
      </w:pBdr>
      <w:tabs>
        <w:tab w:val="center" w:pos="4680"/>
        <w:tab w:val="right" w:pos="9360"/>
      </w:tabs>
      <w:rPr>
        <w:color w:val="000000"/>
      </w:rPr>
    </w:pPr>
    <w:r>
      <w:rPr>
        <w:noProof/>
      </w:rPr>
      <w:drawing>
        <wp:anchor distT="0" distB="0" distL="114300" distR="114300" simplePos="0" relativeHeight="251660288" behindDoc="0" locked="0" layoutInCell="1" hidden="0" allowOverlap="1" wp14:anchorId="722FD382" wp14:editId="2FD21F5C">
          <wp:simplePos x="0" y="0"/>
          <wp:positionH relativeFrom="column">
            <wp:posOffset>-923924</wp:posOffset>
          </wp:positionH>
          <wp:positionV relativeFrom="paragraph">
            <wp:posOffset>-580404</wp:posOffset>
          </wp:positionV>
          <wp:extent cx="7598775" cy="972367"/>
          <wp:effectExtent l="0" t="0" r="0" b="0"/>
          <wp:wrapNone/>
          <wp:docPr id="102974340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98775" cy="972367"/>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D3A08E" w14:textId="77777777" w:rsidR="00D84A19" w:rsidRDefault="008024E4">
    <w:pPr>
      <w:pBdr>
        <w:top w:val="nil"/>
        <w:left w:val="nil"/>
        <w:bottom w:val="nil"/>
        <w:right w:val="nil"/>
        <w:between w:val="nil"/>
      </w:pBdr>
      <w:tabs>
        <w:tab w:val="center" w:pos="4680"/>
        <w:tab w:val="right" w:pos="9360"/>
        <w:tab w:val="left" w:pos="1808"/>
        <w:tab w:val="left" w:pos="6028"/>
      </w:tabs>
      <w:rPr>
        <w:color w:val="000000"/>
      </w:rPr>
    </w:pPr>
    <w:r>
      <w:rPr>
        <w:color w:val="000000"/>
      </w:rPr>
      <w:tab/>
    </w:r>
    <w:r>
      <w:rPr>
        <w:color w:val="000000"/>
      </w:rPr>
      <w:tab/>
    </w:r>
    <w:r>
      <w:rPr>
        <w:noProof/>
      </w:rPr>
      <w:drawing>
        <wp:anchor distT="0" distB="0" distL="114300" distR="114300" simplePos="0" relativeHeight="251661312" behindDoc="0" locked="0" layoutInCell="1" hidden="0" allowOverlap="1" wp14:anchorId="4E2BD337" wp14:editId="0252CEC9">
          <wp:simplePos x="0" y="0"/>
          <wp:positionH relativeFrom="column">
            <wp:posOffset>-928687</wp:posOffset>
          </wp:positionH>
          <wp:positionV relativeFrom="paragraph">
            <wp:posOffset>-580404</wp:posOffset>
          </wp:positionV>
          <wp:extent cx="7606665" cy="974090"/>
          <wp:effectExtent l="0" t="0" r="0" b="0"/>
          <wp:wrapNone/>
          <wp:docPr id="102974340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06665" cy="97409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E90006" w14:textId="77777777" w:rsidR="008024E4" w:rsidRDefault="008024E4">
      <w:r>
        <w:separator/>
      </w:r>
    </w:p>
  </w:footnote>
  <w:footnote w:type="continuationSeparator" w:id="0">
    <w:p w14:paraId="74CCC8E1" w14:textId="77777777" w:rsidR="008024E4" w:rsidRDefault="008024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607B0" w14:textId="77777777" w:rsidR="00D84A19" w:rsidRDefault="008024E4">
    <w:pPr>
      <w:pBdr>
        <w:top w:val="nil"/>
        <w:left w:val="nil"/>
        <w:bottom w:val="nil"/>
        <w:right w:val="nil"/>
        <w:between w:val="nil"/>
      </w:pBdr>
      <w:tabs>
        <w:tab w:val="center" w:pos="4680"/>
        <w:tab w:val="right" w:pos="9360"/>
      </w:tabs>
      <w:rPr>
        <w:color w:val="000000"/>
      </w:rPr>
    </w:pPr>
    <w:r>
      <w:rPr>
        <w:noProof/>
      </w:rPr>
      <w:drawing>
        <wp:anchor distT="0" distB="0" distL="114300" distR="114300" simplePos="0" relativeHeight="251658240" behindDoc="0" locked="0" layoutInCell="1" hidden="0" allowOverlap="1" wp14:anchorId="4A25A5B2" wp14:editId="21526D17">
          <wp:simplePos x="0" y="0"/>
          <wp:positionH relativeFrom="page">
            <wp:posOffset>-9524</wp:posOffset>
          </wp:positionH>
          <wp:positionV relativeFrom="page">
            <wp:posOffset>12065</wp:posOffset>
          </wp:positionV>
          <wp:extent cx="7780849" cy="671641"/>
          <wp:effectExtent l="0" t="0" r="0" b="0"/>
          <wp:wrapSquare wrapText="bothSides" distT="0" distB="0" distL="114300" distR="114300"/>
          <wp:docPr id="102974340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780849" cy="671641"/>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B0C6E" w14:textId="77777777" w:rsidR="00D84A19" w:rsidRDefault="008024E4">
    <w:pPr>
      <w:jc w:val="right"/>
      <w:rPr>
        <w:rFonts w:ascii="Arial" w:eastAsia="Arial" w:hAnsi="Arial" w:cs="Arial"/>
        <w:color w:val="000000"/>
        <w:sz w:val="14"/>
        <w:szCs w:val="14"/>
      </w:rPr>
    </w:pPr>
    <w:r>
      <w:rPr>
        <w:noProof/>
      </w:rPr>
      <w:drawing>
        <wp:anchor distT="0" distB="0" distL="114300" distR="114300" simplePos="0" relativeHeight="251659264" behindDoc="0" locked="0" layoutInCell="1" hidden="0" allowOverlap="1" wp14:anchorId="2B09CD16" wp14:editId="320D9577">
          <wp:simplePos x="0" y="0"/>
          <wp:positionH relativeFrom="column">
            <wp:posOffset>-981074</wp:posOffset>
          </wp:positionH>
          <wp:positionV relativeFrom="paragraph">
            <wp:posOffset>-450214</wp:posOffset>
          </wp:positionV>
          <wp:extent cx="7698740" cy="914400"/>
          <wp:effectExtent l="0" t="0" r="0" b="0"/>
          <wp:wrapTopAndBottom distT="0" distB="0"/>
          <wp:docPr id="102974340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698740" cy="914400"/>
                  </a:xfrm>
                  <a:prstGeom prst="rect">
                    <a:avLst/>
                  </a:prstGeom>
                  <a:ln/>
                </pic:spPr>
              </pic:pic>
            </a:graphicData>
          </a:graphic>
        </wp:anchor>
      </w:drawing>
    </w:r>
  </w:p>
  <w:p w14:paraId="3218AD3B" w14:textId="77777777" w:rsidR="00D84A19" w:rsidRDefault="00D84A19">
    <w:pPr>
      <w:jc w:val="right"/>
      <w:rPr>
        <w:rFonts w:ascii="Arial" w:eastAsia="Arial" w:hAnsi="Arial" w:cs="Arial"/>
        <w:color w:val="000000"/>
        <w:sz w:val="14"/>
        <w:szCs w:val="14"/>
      </w:rPr>
    </w:pPr>
  </w:p>
  <w:p w14:paraId="77BA7F08" w14:textId="77777777" w:rsidR="00D84A19" w:rsidRDefault="00D84A19">
    <w:pPr>
      <w:jc w:val="right"/>
      <w:rPr>
        <w:rFonts w:ascii="Arial" w:eastAsia="Arial" w:hAnsi="Arial" w:cs="Arial"/>
        <w:sz w:val="14"/>
        <w:szCs w:val="14"/>
      </w:rPr>
    </w:pPr>
  </w:p>
  <w:p w14:paraId="48A84480" w14:textId="77777777" w:rsidR="00D84A19" w:rsidRDefault="00D84A19">
    <w:pPr>
      <w:jc w:val="right"/>
      <w:rPr>
        <w:rFonts w:ascii="Arial" w:eastAsia="Arial" w:hAnsi="Arial" w:cs="Arial"/>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1E6D26"/>
    <w:multiLevelType w:val="multilevel"/>
    <w:tmpl w:val="222C75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CF16D76"/>
    <w:multiLevelType w:val="multilevel"/>
    <w:tmpl w:val="4A54E0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2857602"/>
    <w:multiLevelType w:val="multilevel"/>
    <w:tmpl w:val="0D3AA8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552771C4"/>
    <w:multiLevelType w:val="multilevel"/>
    <w:tmpl w:val="990833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E2A703C"/>
    <w:multiLevelType w:val="multilevel"/>
    <w:tmpl w:val="EE1411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4A19"/>
    <w:rsid w:val="004831AC"/>
    <w:rsid w:val="00557D28"/>
    <w:rsid w:val="005A5F06"/>
    <w:rsid w:val="008024E4"/>
    <w:rsid w:val="00B56D86"/>
    <w:rsid w:val="00D84A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E8F57C"/>
  <w15:docId w15:val="{12A76438-A121-43DE-B97B-40CAB3E27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outlineLvl w:val="0"/>
    </w:pPr>
    <w:rPr>
      <w:rFonts w:ascii="Calibri" w:eastAsia="Calibri" w:hAnsi="Calibri" w:cs="Calibri"/>
      <w:color w:val="2F5496"/>
      <w:sz w:val="32"/>
      <w:szCs w:val="3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rPr>
      <w:rFonts w:ascii="Calibri" w:eastAsia="Calibri" w:hAnsi="Calibri" w:cs="Calibri"/>
      <w:sz w:val="56"/>
      <w:szCs w:val="56"/>
    </w:rPr>
  </w:style>
  <w:style w:type="paragraph" w:styleId="Header">
    <w:name w:val="header"/>
    <w:basedOn w:val="Normal"/>
    <w:link w:val="HeaderChar"/>
    <w:uiPriority w:val="99"/>
    <w:unhideWhenUsed/>
    <w:rsid w:val="00D0316B"/>
    <w:pPr>
      <w:tabs>
        <w:tab w:val="center" w:pos="4680"/>
        <w:tab w:val="right" w:pos="9360"/>
      </w:tabs>
    </w:pPr>
  </w:style>
  <w:style w:type="character" w:customStyle="1" w:styleId="HeaderChar">
    <w:name w:val="Header Char"/>
    <w:basedOn w:val="DefaultParagraphFont"/>
    <w:link w:val="Header"/>
    <w:uiPriority w:val="99"/>
    <w:rsid w:val="00D0316B"/>
  </w:style>
  <w:style w:type="paragraph" w:styleId="Footer">
    <w:name w:val="footer"/>
    <w:basedOn w:val="Normal"/>
    <w:link w:val="FooterChar"/>
    <w:uiPriority w:val="99"/>
    <w:unhideWhenUsed/>
    <w:rsid w:val="00D0316B"/>
    <w:pPr>
      <w:tabs>
        <w:tab w:val="center" w:pos="4680"/>
        <w:tab w:val="right" w:pos="9360"/>
      </w:tabs>
    </w:pPr>
  </w:style>
  <w:style w:type="character" w:customStyle="1" w:styleId="FooterChar">
    <w:name w:val="Footer Char"/>
    <w:basedOn w:val="DefaultParagraphFont"/>
    <w:link w:val="Footer"/>
    <w:uiPriority w:val="99"/>
    <w:rsid w:val="00D0316B"/>
  </w:style>
  <w:style w:type="character" w:styleId="Hyperlink">
    <w:name w:val="Hyperlink"/>
    <w:basedOn w:val="DefaultParagraphFont"/>
    <w:uiPriority w:val="99"/>
    <w:unhideWhenUsed/>
    <w:rsid w:val="00D0316B"/>
    <w:rPr>
      <w:color w:val="0563C1" w:themeColor="hyperlink"/>
      <w:u w:val="single"/>
    </w:rPr>
  </w:style>
  <w:style w:type="character" w:customStyle="1" w:styleId="UnresolvedMention1">
    <w:name w:val="Unresolved Mention1"/>
    <w:basedOn w:val="DefaultParagraphFont"/>
    <w:uiPriority w:val="99"/>
    <w:semiHidden/>
    <w:unhideWhenUsed/>
    <w:rsid w:val="00D0316B"/>
    <w:rPr>
      <w:color w:val="605E5C"/>
      <w:shd w:val="clear" w:color="auto" w:fill="E1DFDD"/>
    </w:rPr>
  </w:style>
  <w:style w:type="character" w:customStyle="1" w:styleId="SubtitleChar">
    <w:name w:val="Subtitle Char"/>
    <w:basedOn w:val="DefaultParagraphFont"/>
    <w:link w:val="Subtitle"/>
    <w:rsid w:val="00295C55"/>
    <w:rPr>
      <w:rFonts w:ascii="Arial" w:eastAsia="Lucida Sans Unicode" w:hAnsi="Arial" w:cs="Times New Roman"/>
      <w:i/>
      <w:iCs/>
      <w:sz w:val="28"/>
      <w:szCs w:val="28"/>
      <w:lang w:val="x-none" w:eastAsia="ar-SA"/>
    </w:rPr>
  </w:style>
  <w:style w:type="paragraph" w:styleId="BodyText">
    <w:name w:val="Body Text"/>
    <w:basedOn w:val="Normal"/>
    <w:link w:val="BodyTextChar"/>
    <w:uiPriority w:val="99"/>
    <w:semiHidden/>
    <w:unhideWhenUsed/>
    <w:rsid w:val="00295C55"/>
    <w:pPr>
      <w:spacing w:after="120"/>
    </w:pPr>
  </w:style>
  <w:style w:type="character" w:customStyle="1" w:styleId="BodyTextChar">
    <w:name w:val="Body Text Char"/>
    <w:basedOn w:val="DefaultParagraphFont"/>
    <w:link w:val="BodyText"/>
    <w:uiPriority w:val="99"/>
    <w:semiHidden/>
    <w:rsid w:val="00295C55"/>
    <w:rPr>
      <w:rFonts w:ascii="Times New Roman" w:eastAsia="Times New Roman" w:hAnsi="Times New Roman" w:cs="Times New Roman"/>
      <w:sz w:val="24"/>
      <w:szCs w:val="24"/>
      <w:lang w:val="en-US" w:eastAsia="ar-SA"/>
    </w:rPr>
  </w:style>
  <w:style w:type="paragraph" w:customStyle="1" w:styleId="Default">
    <w:name w:val="Default"/>
    <w:rsid w:val="00295C55"/>
    <w:pPr>
      <w:autoSpaceDE w:val="0"/>
      <w:autoSpaceDN w:val="0"/>
      <w:adjustRightInd w:val="0"/>
    </w:pPr>
    <w:rPr>
      <w:rFonts w:ascii="Calibri" w:hAnsi="Calibri" w:cs="Calibri"/>
      <w:color w:val="000000"/>
    </w:rPr>
  </w:style>
  <w:style w:type="paragraph" w:styleId="NoSpacing">
    <w:name w:val="No Spacing"/>
    <w:uiPriority w:val="1"/>
    <w:qFormat/>
    <w:rsid w:val="00295C55"/>
    <w:pPr>
      <w:suppressAutoHyphens/>
    </w:pPr>
    <w:rPr>
      <w:lang w:eastAsia="ar-SA"/>
    </w:rPr>
  </w:style>
  <w:style w:type="character" w:customStyle="1" w:styleId="Heading1Char">
    <w:name w:val="Heading 1 Char"/>
    <w:basedOn w:val="DefaultParagraphFont"/>
    <w:link w:val="Heading1"/>
    <w:uiPriority w:val="9"/>
    <w:rsid w:val="00295C55"/>
    <w:rPr>
      <w:rFonts w:asciiTheme="majorHAnsi" w:eastAsiaTheme="majorEastAsia" w:hAnsiTheme="majorHAnsi" w:cstheme="majorBidi"/>
      <w:color w:val="2F5496" w:themeColor="accent1" w:themeShade="BF"/>
      <w:sz w:val="32"/>
      <w:szCs w:val="32"/>
      <w:lang w:val="en-US" w:eastAsia="ar-SA"/>
    </w:rPr>
  </w:style>
  <w:style w:type="character" w:customStyle="1" w:styleId="TitleChar">
    <w:name w:val="Title Char"/>
    <w:basedOn w:val="DefaultParagraphFont"/>
    <w:link w:val="Title"/>
    <w:uiPriority w:val="10"/>
    <w:rsid w:val="00295C55"/>
    <w:rPr>
      <w:rFonts w:asciiTheme="majorHAnsi" w:eastAsiaTheme="majorEastAsia" w:hAnsiTheme="majorHAnsi" w:cstheme="majorBidi"/>
      <w:spacing w:val="-10"/>
      <w:kern w:val="28"/>
      <w:sz w:val="56"/>
      <w:szCs w:val="56"/>
      <w:lang w:val="en-US" w:eastAsia="ar-SA"/>
    </w:rPr>
  </w:style>
  <w:style w:type="paragraph" w:customStyle="1" w:styleId="TableParagraph">
    <w:name w:val="Table Paragraph"/>
    <w:basedOn w:val="Normal"/>
    <w:uiPriority w:val="1"/>
    <w:qFormat/>
    <w:rsid w:val="00295C55"/>
    <w:pPr>
      <w:widowControl w:val="0"/>
      <w:autoSpaceDE w:val="0"/>
      <w:autoSpaceDN w:val="0"/>
    </w:pPr>
    <w:rPr>
      <w:rFonts w:ascii="Liberation Sans Narrow" w:eastAsia="Liberation Sans Narrow" w:hAnsi="Liberation Sans Narrow" w:cs="Liberation Sans Narrow"/>
      <w:sz w:val="22"/>
      <w:szCs w:val="22"/>
    </w:rPr>
  </w:style>
  <w:style w:type="paragraph" w:styleId="ListParagraph">
    <w:name w:val="List Paragraph"/>
    <w:basedOn w:val="Normal"/>
    <w:link w:val="ListParagraphChar"/>
    <w:uiPriority w:val="34"/>
    <w:qFormat/>
    <w:rsid w:val="00371C71"/>
    <w:pPr>
      <w:ind w:left="720"/>
      <w:contextualSpacing/>
    </w:pPr>
  </w:style>
  <w:style w:type="table" w:styleId="TableGrid">
    <w:name w:val="Table Grid"/>
    <w:basedOn w:val="TableNormal"/>
    <w:uiPriority w:val="39"/>
    <w:rsid w:val="00371C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C230C0"/>
    <w:rPr>
      <w:rFonts w:ascii="Times New Roman" w:eastAsia="Times New Roman" w:hAnsi="Times New Roman" w:cs="Times New Roman"/>
      <w:sz w:val="24"/>
      <w:szCs w:val="24"/>
      <w:lang w:val="en-US" w:eastAsia="ar-SA"/>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Pr>
  </w:style>
  <w:style w:type="paragraph" w:styleId="NormalWeb">
    <w:name w:val="Normal (Web)"/>
    <w:basedOn w:val="Normal"/>
    <w:uiPriority w:val="99"/>
    <w:semiHidden/>
    <w:unhideWhenUsed/>
    <w:rsid w:val="00E400A5"/>
    <w:pPr>
      <w:spacing w:before="100" w:beforeAutospacing="1" w:after="100" w:afterAutospacing="1"/>
    </w:pPr>
    <w:rPr>
      <w:lang w:val="en-PH" w:eastAsia="en-PH"/>
    </w:rPr>
  </w:style>
  <w:style w:type="paragraph" w:styleId="Subtitle">
    <w:name w:val="Subtitle"/>
    <w:basedOn w:val="Normal"/>
    <w:next w:val="Normal"/>
    <w:link w:val="SubtitleChar"/>
    <w:uiPriority w:val="11"/>
    <w:qFormat/>
    <w:pPr>
      <w:keepNext/>
      <w:spacing w:before="240" w:after="120"/>
      <w:jc w:val="center"/>
    </w:pPr>
    <w:rPr>
      <w:rFonts w:ascii="Arial" w:eastAsia="Arial" w:hAnsi="Arial" w:cs="Arial"/>
      <w:i/>
      <w:iCs/>
      <w:sz w:val="28"/>
      <w:szCs w:val="28"/>
    </w:r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zlD7fEOk6mwnCf5Z0apq847Obg==">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806</Words>
  <Characters>4597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 Erasga</dc:creator>
  <cp:lastModifiedBy>jerome.barradas</cp:lastModifiedBy>
  <cp:revision>2</cp:revision>
  <dcterms:created xsi:type="dcterms:W3CDTF">2026-05-12T07:23:00Z</dcterms:created>
  <dcterms:modified xsi:type="dcterms:W3CDTF">2026-05-12T07:23:00Z</dcterms:modified>
</cp:coreProperties>
</file>